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1B_640/2022 vom 13. Februar 2023</w:t>
      </w:r>
    </w:p>
    <w:p>
      <w:r>
        <w:t>Bundesgericht, 2023-02-13, DE</w:t>
      </w:r>
    </w:p>
    <w:p>
      <w:r>
        <w:rPr>
          <w:b/>
        </w:rPr>
        <w:t xml:space="preserve">Quelle: </w:t>
      </w:r>
      <w:r>
        <w:t>https://mcp.opencaselaw.ch/entscheid/bger_1B_640_2022</w:t>
      </w:r>
    </w:p>
    <w:p>
      <w:r>
        <w:t>FR: TF 1B_640/2022 du 13 février 2023</w:t>
      </w:r>
    </w:p>
    <w:p>
      <w:r>
        <w:t>IT: TF 1B_640/2022 del 13 febbraio 2023</w:t>
      </w:r>
    </w:p>
    <w:p>
      <w:pPr>
        <w:pStyle w:val="Heading2"/>
      </w:pPr>
      <w:r>
        <w:t>Erwägungen</w:t>
      </w:r>
    </w:p>
    <w:p>
      <w:r>
        <w:rPr>
          <w:b/>
        </w:rPr>
        <w:t>E. 1</w:t>
      </w:r>
    </w:p>
    <w:p>
      <w:r>
        <w:t>Beim Kantonsgericht Schwyz ist eine Beschwerde von A.________ gegen die Nichtanhandnahme eines Strafverfahrens hängig. Mit zwei separaten Verfügungen vom 9. Dezember 2022 hat der Kantonsgerichtsvizepräsident A.________ einerseits auf die gesetzlichen Anforderungen an die Begründung einer Beschwerde und die Möglichkeit, seine Eingabe bis zum Ablauf der Rechtsmittelfrist zu verbessern, hingewiesen. Anderseits hat er ihn zur Leistung einer Prozesskostensicherheit von Fr. 1'500.-- bis zum 27. Dezember 2022 verpflichtet, unter der Androhung, bei Säumnis auf das Rechtsmittel nicht einzutreten.</w:t>
      </w:r>
    </w:p>
    <w:p>
      <w:r>
        <w:t>Mit Eingabe vom 19. Dezember 2022 erhebt A.________ Beschwerde gegen "die Verfügung vom 9. Dezember 2022".</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t>Der Beschwerde lässt sich nicht entnehmen, welche der beiden Verfügungen der Beschwerdeführer anfechten will. Er legt vielmehr einzig dar, dass er Opfer eines Betrugs geworden sei und von den Verantwortlichen der Firma B.________ sein investiertes Gesamtkapital in der Höhe von 12'749 Euro zurückfordere. Damit setzt er sich nicht ansatzweise mit den angefochtenen Verfügungen auseinander und legt nicht dar, inwiefern sie Bundesrecht verletzen. Auf die Beschwerde ist wegen Verletzung der Begründungspflicht nicht einzutreten, wobei auf die Erhebung von Kosten ausnahmsweise verzichtet werden kann.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