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1B_63/2017 vom 13. April 2017</w:t>
      </w:r>
    </w:p>
    <w:p>
      <w:r>
        <w:t>Bundesgericht, 2017-04-13, FR</w:t>
      </w:r>
    </w:p>
    <w:p>
      <w:r>
        <w:rPr>
          <w:b/>
        </w:rPr>
        <w:t xml:space="preserve">Quelle: </w:t>
      </w:r>
      <w:r>
        <w:t>https://mcp.opencaselaw.ch/entscheid/bger_1B_63_2017</w:t>
      </w:r>
    </w:p>
    <w:p>
      <w:r>
        <w:t>FR: TF 1B_63/2017 du 13 avril 2017</w:t>
      </w:r>
    </w:p>
    <w:p>
      <w:r>
        <w:t>IT: TF 1B_63/2017 del 13 aprile 2017</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w:t>
      </w:r>
    </w:p>
    <w:p>
      <w:r>
        <w:t>Ne mettant pas un terme à la procédure pénale, la décision attaquée doit être qualifiée d'incidente; elle est cependant en principe susceptible de causer un préjudice irréparable à la partie recourante - soit en particulier le prévenu - dans la mesure où la levée des scellés pourrait porter atteinte aux secrets invoqués pour s'y opposer ( art. 93 al. 1 let. a LTF ; arrêt 1B_295/2016 du 10 novembre 2016 consid. 1.1). L'entrée en matière vaut d'ailleurs d'autant plus en l'espèce que l'ordonnance de levée des scellés peut présenter le caractère d'une décision partielle lorsqu'un tiers au sens de l' art. 105 al. 1 let . f CPP - tel le recourant - est concerné ( art. 91 let. b LTF ; arrêt 1B_62/2014 du 4 avril 2014 consid. 1.1 et les arrêts cités). En tant que détenteur des documents et données placés sous scellés, le recourant dispose également d'un intérêt juridiquement protégé à l'annulation ou à la modification de la décision entreprise ( art. 81 al. 1 let. a et b LTF ).</w:t>
      </w:r>
    </w:p>
    <w:p>
      <w:r>
        <w:t>Pour le surplus, le recours a été déposé en temps utile ( art. 100 al. 1 LTF ) et les conclusions qui y sont prises sont recevables ( art. 107 al. 2 LTF ). Il y a donc lieu d'entrer en matière.</w:t>
      </w:r>
    </w:p>
    <w:p>
      <w:r>
        <w:rPr>
          <w:b/>
        </w:rPr>
        <w:t>E. 2</w:t>
      </w:r>
    </w:p>
    <w:p>
      <w:r>
        <w:t>Invoquant une violation de son droit d'être entendu ( art. 29 al. 2 Cst. ), le recourant se plaint d'un défaut de motivation (sur cette problématique, cf. ATF 141 V 557 consid. 3.2.1 p. 564 s.). Il soutient à cet égard que le Tmc n'aurait pas suffisamment motivé la connexité pouvant exister entre les pièces saisies lui appartenant et la procédure pénale ouverte contre le prévenu.</w:t>
      </w:r>
    </w:p>
    <w:p>
      <w:r>
        <w:t>Il ressort tout d'abord de l'arrêt attaqué que le prévenu est poursuivi pour blanchiment d'argent dans le cadre de la débâcle du groupe G.________. Le Tmc a ensuite constaté qu'un lien pouvait être établi entre le prévenu et le recourant; en effet, tous les deux avaient été administrateurs de sociétés appartenant au groupe C.________ ("C.________ Holding SA" pour le premier et "C.________ Services SA" pour le second). Cette motivation - certes succincte - suffit pour comprendre que le lien de connexité permettant la saisie des pièces au domicile du recourant résulte du type de position occupée par les deux intéressés (administrateurs), de l'exercice de cette fonction au sein de sociétés d'un même groupe, ainsi que de la possible implication des entités C.________ dans la débâcle du groupe G.________. Les reproches du recourant sont au demeurant d'autant plus inconsistants qu'il reconnaît lui-même avoir été "membre d'un conseil d'administration d'une société, qui se trouve actuellement dans les listes des sociétés visées par la débâcle du groupe G.________" (cf. p. 6 de son mémoire de recours).</w:t>
      </w:r>
    </w:p>
    <w:p>
      <w:r>
        <w:t>A toutes fins utiles, tout lien avec D.________ SA - qui appartenait au Groupe G.________ et dont le recourant a également été l'administrateur - n'a pas été exclu par le MPC comme le soutient le recourant; au contraire, le MPC a rappelé que le groupe C.________ trouvait son origine dans cette société et qu'à la suite de fusion, ses actifs et passifs avaient été repris par la société "C.________ Services SA" (cf. ad 5 p. 4 de la demande de levée des scellés).</w:t>
      </w:r>
    </w:p>
    <w:p>
      <w:r>
        <w:t>Au regard de ces considérations, le grief de violation du droit d'être entendu peut être écarté.</w:t>
      </w:r>
    </w:p>
    <w:p>
      <w:r>
        <w:rPr>
          <w:b/>
        </w:rPr>
        <w:t>E. 3</w:t>
      </w:r>
    </w:p>
    <w:p>
      <w:r>
        <w:t>Le recourant reproche ensuite au Tmc des violations des art. 197 et 248 CPP . Il prétend tout d'abord avoir rempli ses obligations en matière de collaboration. Invoquant ensuite le principe de proportionnalité, il soutient que certains documents seraient dénués de pertinence pour l'instruction et que la perquisition devrait se limiter aux pièces contenant les mots-clés figurant dans la liste du MPC.</w:t>
      </w:r>
    </w:p>
    <w:p>
      <w:r>
        <w:rPr>
          <w:b/>
        </w:rPr>
        <w:t>E. 3.1</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w:t>
      </w:r>
    </w:p>
    <w:p>
      <w:r>
        <w:t>Cette seconde question ne peut être résolue dans le détail, puisque le contenu même des documents mis sous scellés n'est pas encore connu. L'autorité de levée des scellés doit s'en tenir, à ce stade, au principe de l' "utilité potentielle" ( ATF 132 IV 63 consid. 4.4 p. 66 s.; arrêt 1B_295/2016 du 10 novembre 2016 consid. 3.1 et les arrêts cités). Les détenteurs ont l'obligation de désigner les pièces qui sont, de leur point de vue, couvertes par le secret invoqué ou qui ne présentent manifestement aucun lien avec l'enquête pénale, obligation prévalant notamment lorsque les documents ou données dont la mise sous scellés a été requise sont très nombreux ou très complexes ( ATF 141 IV 77 consid. 4.3 p. 81 et 5.6 p. 87; 138 IV 225 consid. 7.1 p. 229 et les arrêts cités).</w:t>
      </w:r>
    </w:p>
    <w:p>
      <w:r>
        <w:t>En présence d'un secret professionnel avéré, notamment celui de l'avocat au sens de l' art. 171 CPP ( ATF 141 IV 77 consid. 4.2 p. 81), l'autorité de levée des scellés élimine les pièces couvertes par ce secret. Sur la base des explications circonstanciées du Ministère public et du détenteur des éléments saisis, l'autorité écarte les objets/documents paraissant manifestement dénués de pertinence pour l'enquête pénale. Elle prend également les mesures nécessaires afin de préserver, parmi les documents remis aux enquêteurs, la confidentialité des tiers non concernés par l'enquête en cours (arrêt 1B_18/2016 du 19 avril 2016 consid. 3.1). Il en va de même lorsque des pièces et/ou objets bénéficient de la protection conférée par l' art. 264 al. 1 CPP ( ATF 141 IV 77 consid. 4.2 p. 81; arrêt 1B_168/2016 du 29 septembre 2016 consid. 3.1), lorsque l'intéressé se prévaut du respect de sa vie privée et familiale, ainsi qu'à être protégé contre l'emploi abusif des données le concernant ( art. 13 Cst. ; ATF 141 IV 77 consid. 4.3 p. 81 s.). En tout état de cause, les mesures de contrainte qui portent atteinte aux droits fondamentaux des personnes qui n'ont pas le statut de prévenu sont appliquées avec une retenue particulière ( art. 197 al. 2 CPP ).</w:t>
      </w:r>
    </w:p>
    <w:p>
      <w:r>
        <w:rPr>
          <w:b/>
        </w:rPr>
        <w:t>E. 3.2</w:t>
      </w:r>
    </w:p>
    <w:p>
      <w:r>
        <w:t>En l'occurrence, il y a lieu tout d'abord de constater que le lien de connexité établi entre le prévenu et le recourant (administrateurs de sociétés du groupe C.________, entité a priori liée à la débâcle du groupe G.________; cf. consid. 2 ci-dessus) suffit pour considérer que les pièces placées sous scellés peuvent être potentiellement utiles à l'enquête en cours. Cela vaut d'autant plus au regard du chef de prévention examiné (blanchiment d'argent); en effet, l'utilisation d'entités d'un même groupe peut servir à dissimuler, via par exemple des transferts internes, le produit d'éventuels actes illicites.</w:t>
      </w:r>
    </w:p>
    <w:p>
      <w:r>
        <w:t>Le recourant conteste ensuite la levée des scellés sur certaines pièces particulières. Dans la mesure où l'avis de droit - pour lequel le recourant ne se prévaut pas du secret professionnel de l'avocat - porte en particulier sur l'infraction susmentionnée, il ne paraît pas d'emblée dénué de toute pertinence pour la procédure (cf. pièce n° _______008a). Tel est également le cas des pièces pour lesquelles le recourant reconnaît lui-même qu'elles font état de relations avec le groupe G.________ et/ou la société C.________ (cf. en particulier n° ________04, ________22, ________08, ________09, ________11 et ________16). Il n'y a pas non plus lieu de retenir que la mention de l'épouse du recourant ou celle de ses clients suffirait pour maintenir les scellés sur ces documents puisque l'autorité doit, le cas échéant, prendre les mesures de protection nécessaires. Quant aux pièces relatives au "contrat de fiducie" et de "Shares Sale &amp; Purchase Agreement" (n° ________12 et ________13), le recourant soutient que ces documents seraient sans pertinence pour la procédure dès lors qu'ils auraient été conclus avec un tiers. Le Tmc a cependant également relevé que ces contrats portaient sur un capital-action de plusieurs millions d'euros, constatation sur laquelle ne se prononce pas le recourant. En particulier et malgré l'infraction reprochée au prévenu, le recourant ne donne aucune indication, même brève, sur l'origine des fonds alors utilisés.</w:t>
      </w:r>
    </w:p>
    <w:p>
      <w:r>
        <w:t>Le recourant soutient encore que la saisie aurait dû se limiter aux pièces contenant les mots-clés indiqués par le MPC. Cette liste a été établie afin de cibler les documents à saisir sur les lieux de la perquisition et de faciliter le travail des enquêteurs en charge de cette mesure, ce qui n'est pas contesté (cf. en particulier p. 11 du mémoire de recours). Cela permet donc de retenir que la perquisition effectuée ne tendait pas à une recherche indéterminée de pièces ("fishing operation"), mais visait certains objectifs. Sauf à empêcher ensuite la recherche de la vérité et à bloquer toute instruction pénale, ces buts doivent pouvoir évoluer, notamment à la suite des actes d'enquête ordonnés et des éléments mis en évidence par ces mesures. En tout état de cause, le critère de l' "utilité potentielle" doit être vérifié par rapport à l'ensemble des éléments saisis. Lors de cet examen, l'autorité se fonde sur la demande du MPC - dont sa liste de mots-clés, qui constitue ainsi un indice d'éventuelle pertinence -, ainsi que sur les informations données par le recourant dans le cadre de son obligation de collaboration. Ce devoir d'allégation est d'autant plus important que le MPC n'a pas accès au contenu des pièces. Le recourant ne peut ainsi pas se contenter d'affirmations générales pour exclure l'entier de différents dossiers.</w:t>
      </w:r>
    </w:p>
    <w:p>
      <w:r>
        <w:t>Au vu de ces considérations, la levée des scellés telle qu'ordonnée dans la décision attaquée peut être confirmée.</w:t>
      </w:r>
    </w:p>
    <w:p>
      <w:r>
        <w:rPr>
          <w:b/>
        </w:rPr>
        <w:t>E. 4</w:t>
      </w:r>
    </w:p>
    <w:p>
      <w:r>
        <w:t>Il s'ensuit que le recours est rejeté.</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