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639/2020 vom 29. Januar 2021</w:t>
      </w:r>
    </w:p>
    <w:p>
      <w:r>
        <w:t>Bundesgericht, 2021-01-29, IT</w:t>
      </w:r>
    </w:p>
    <w:p>
      <w:r>
        <w:rPr>
          <w:b/>
        </w:rPr>
        <w:t xml:space="preserve">Quelle: </w:t>
      </w:r>
      <w:r>
        <w:t>https://mcp.opencaselaw.ch/entscheid/bger_1B_639_2020</w:t>
      </w:r>
    </w:p>
    <w:p>
      <w:r>
        <w:t>FR: TF 1B 639/2020 du 29 janvier 2021</w:t>
      </w:r>
    </w:p>
    <w:p>
      <w:r>
        <w:t>IT: TF 1B 639/2020 del 29 gennaio 2021</w:t>
      </w:r>
    </w:p>
    <w:p>
      <w:pPr>
        <w:pStyle w:val="Heading2"/>
      </w:pPr>
      <w:r>
        <w:t>Regeste</w:t>
      </w:r>
    </w:p>
    <w:p>
      <w:r>
        <w:t>domanda di revoca dell'ordine di arresto internazionale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Ne segue che il ricorso, manifestamente infondato, può essere deciso sulla base della procedura dell' art. 109 cpv. 2 lett. a e cpv. 3 LTF e, in quanto ammissibile, dev'essere respinto. Viste le specificità dell'avvio della vertenza in esame si può eccezionalmente rinunciare a prelevare spese giudiziarie (art. 66 cpv. 1 secondo periodo LTF). L'emanazione del presente giudizio rende priva d'oggetto la richiesta di concedere l'effetto sospensivo alla domanda di estradizione, istanza che peraltro esula dall'oggetto del litigio.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