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1B_638/2022 vom 22. Dezember 2022</w:t>
      </w:r>
    </w:p>
    <w:p>
      <w:r>
        <w:t>Bundesgericht, 2022-12-22, DE</w:t>
      </w:r>
    </w:p>
    <w:p>
      <w:r>
        <w:rPr>
          <w:b/>
        </w:rPr>
        <w:t xml:space="preserve">Quelle: </w:t>
      </w:r>
      <w:r>
        <w:t>https://mcp.opencaselaw.ch/entscheid/bger_1B_638_2022</w:t>
      </w:r>
    </w:p>
    <w:p>
      <w:r>
        <w:t>FR: TF 1B_638/2022 du 22 décembre 2022</w:t>
      </w:r>
    </w:p>
    <w:p>
      <w:r>
        <w:t>IT: TF 1B_638/2022 del 22 dicembre 2022</w:t>
      </w:r>
    </w:p>
    <w:p>
      <w:pPr>
        <w:pStyle w:val="Heading2"/>
      </w:pPr>
      <w:r>
        <w:t>Erwägungen</w:t>
      </w:r>
    </w:p>
    <w:p>
      <w:r>
        <w:rPr>
          <w:b/>
        </w:rPr>
        <w:t>E. 1</w:t>
      </w:r>
    </w:p>
    <w:p>
      <w:r>
        <w:t>Mit Verfügung vom 25. Juli 2022 bestellte die Oberstaatsanwaltschaft des Kantons Zürich eine amtliche Verteidigung für A.________. Eine dagegen von A.________ an das Obergericht des Kantons Zürich erhobene Beschwerde wies dieses mit Verfügung vom 22. September 2022 zur Überarbeitung und allfälligen Verbesserung zurück, ansonsten auf die Beschwerde nicht eingetreten werden könne bzw. aufgrund der Akten entschieden werde. Zur Begründung führte es aus, die handschriftlich verfasste Beschwerde sei grösstenteils nicht entzifferbar und erweise sich als mangelhaft. Mit Eingabe vom 29. September 2022 führte A.________ sinngemäss und soweit entzifferbar Beschwerde gegen diese Verfügung an das Bundesgericht. Dieses trat am 12. Oktober 2022 nicht auf die Beschwerde ein (Urteil 1B_514/2022). Da A.________ innert der vom Obergericht angesetzten Frist keine verbesserte Beschwerde einreichte, trat das Obergericht am 30. November 2022 nicht auf die Beschwerde ein.</w:t>
      </w:r>
    </w:p>
    <w:p>
      <w:r>
        <w:t>Mit Eingabe vom 14. Dezember 2022 führt A.________ sinngemäss und soweit entzifferbar Beschwerde gegen dieses Nichteintreten an das Bundesgericht.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je mit Hinweisen).</w:t>
      </w:r>
    </w:p>
    <w:p>
      <w:r>
        <w:t>Soweit entzifferbar legt der Beschwerdeführer nicht dar, inwiefern der Entscheid der Vorinstanz rechts- bzw. verfassungswidrig sein sollte, und das ist auch nicht offensichtlich. Die Beschwerde genügt den gesetzlichen Formerfordernissen offensichtlich nicht, weshalb auf sie im vereinfachten Verfahren nach Art. 108 Abs. 1 BGG nicht einzutreten ist.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