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1B_636/2020 vom 30. Dezember 2020</w:t>
      </w:r>
    </w:p>
    <w:p>
      <w:r>
        <w:t>Bundesgericht, 2020-12-30, DE</w:t>
      </w:r>
    </w:p>
    <w:p>
      <w:r>
        <w:rPr>
          <w:b/>
        </w:rPr>
        <w:t xml:space="preserve">Quelle: </w:t>
      </w:r>
      <w:r>
        <w:t>https://mcp.opencaselaw.ch/entscheid/bger_1B_636_2020</w:t>
      </w:r>
    </w:p>
    <w:p>
      <w:r>
        <w:t>FR: TF 1B_636/2020 du 30 décembre 2020</w:t>
      </w:r>
    </w:p>
    <w:p>
      <w:r>
        <w:t>IT: TF 1B_636/2020 del 30 dicembre 2020</w:t>
      </w:r>
    </w:p>
    <w:p>
      <w:pPr>
        <w:pStyle w:val="Heading2"/>
      </w:pPr>
      <w:r>
        <w:t>Erwägungen</w:t>
      </w:r>
    </w:p>
    <w:p>
      <w:r>
        <w:rPr>
          <w:b/>
        </w:rPr>
        <w:t>E. 1</w:t>
      </w:r>
    </w:p>
    <w:p>
      <w:r>
        <w:t>Angefochten ist ein kantonal letztinstanzlicher Entscheid, mit dem das Obergericht eine Beschwerde gegen die Abweisung eines Protokollberichtigungsgesuchs abgewiesen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w:t>
      </w:r>
    </w:p>
    <w:p>
      <w:r>
        <w:t>Der Beschwerdeführer bringt vor, indem das fragliche Protokoll eine Aussage von C.________ falsch wiedergebe, werde ein falsches, ihn belastendes Beweismittel geschaffen, das in die Beweiswürdigung einfliessen werde, ohne dass er später den Einwand, die Einvernahme sei falsch protokolliert worden, noch vorbringen könne.</w:t>
      </w:r>
    </w:p>
    <w:p>
      <w:r>
        <w:t>Dies trifft offenkundig nicht zu. Der Beschwerdeführer kann nach Art. 339 Abs. 2 lit. d StPO noch an der Hauptverhandlung die erhobenen Beweise vorfrageweise beanstanden und damit auch geltend machen, das Einvernahmeprotokoll entspreche nicht den Aussagen der Privatklägerin. Dies umso mehr, als er das Protokoll schon zeitnah kritisiert hat und man ihm daher jedenfalls nicht wird entgegenhalten können, er habe es stillschweigend akzeptiert. Da er diesen Einwand somit dem Sachgericht wird unterbreiten können, droht ihm durch den angefochtenen Entscheid kein nicht wieder gutzumachender Nachteil rechtlicher Natur.</w:t>
      </w:r>
    </w:p>
    <w:p>
      <w:r>
        <w:t>Der Beschwerdeführer macht geltend, der angefochtene Entscheid sei jedenfalls insoweit ein Endentscheid, als das Gesuch um amtliche Verteidigung abgewiesen worden sei. Das trifft nicht zu, die Anfechtung der Kosten- und Entschädigungsregelung folgt der Hauptsache. Ist diese wie hier nicht anfechtbar, ist es die Kosten- und Entschädigungsregelung auch nicht (Urteil 5A_392/2020 vom 16. Dezember 2020 E. 1.2 mit Hinweisen).</w:t>
      </w:r>
    </w:p>
    <w:p>
      <w:r>
        <w:rPr>
          <w:b/>
        </w:rPr>
        <w:t>E. 3</w:t>
      </w:r>
    </w:p>
    <w:p>
      <w:r>
        <w:t>Auf die Beschwerde ist im vereinfachten Verfahren nicht einzutreten. Bei diesem Ausgang des Verfahrens würde an sich der Beschwerdeführer kostenpflichtig ( Art. 66 Abs. 1 BGG ). Er hat zwar ein Gesuch um unentgeltliche Rechtspflege und Verbeiständung gestellt, welches indessen abzuweisen ist, da die Beschwerde aussichtslos war ( Art. 64 Abs. 1 und 2 BGG ). Hingegen kann auf eine Kostenauflage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