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1B_633/2012 vom 30. Januar 2013</w:t>
      </w:r>
    </w:p>
    <w:p>
      <w:r>
        <w:t>Bundesgericht, 2013-01-30, DE</w:t>
      </w:r>
    </w:p>
    <w:p>
      <w:r>
        <w:rPr>
          <w:b/>
        </w:rPr>
        <w:t xml:space="preserve">Quelle: </w:t>
      </w:r>
      <w:r>
        <w:t>https://mcp.opencaselaw.ch/entscheid/bger_1B_633_2012</w:t>
      </w:r>
    </w:p>
    <w:p>
      <w:r>
        <w:t>FR: TF 1B_633/2012 du 30 janvier 2013</w:t>
      </w:r>
    </w:p>
    <w:p>
      <w:r>
        <w:t>IT: TF 1B_633/2012 del 30 gennaio 2013</w:t>
      </w:r>
    </w:p>
    <w:p>
      <w:pPr>
        <w:pStyle w:val="Heading2"/>
      </w:pPr>
      <w:r>
        <w:t>Erwägungen</w:t>
      </w:r>
    </w:p>
    <w:p>
      <w:r>
        <w:rPr>
          <w:b/>
        </w:rPr>
        <w:t>E. 1.1</w:t>
      </w:r>
    </w:p>
    <w:p>
      <w:r>
        <w:t>Gegen den angefochtenen Entscheid ist gemäss Art. 78 Abs. 1 BGG die Beschwerde in Strafsachen gegeben.</w:t>
      </w:r>
    </w:p>
    <w:p>
      <w:r>
        <w:rPr>
          <w:b/>
        </w:rPr>
        <w:t>E. 1.2</w:t>
      </w:r>
    </w:p>
    <w:p>
      <w:r>
        <w:t>Der angefochtene Entscheid schliesst das Strafverfahren nicht ab. Es handelt sich um einen Zwischenentscheid gemäss Art. 93 BGG . Nach Absatz 1 dieser Bestimmung ist gegen einen solchen 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Bereich des Strafrechts beim nicht wieder gutzumachenden Nachteil gemäss Art. 93 Abs. 1 lit. a BGG um einen solchen rechtlicher Natur handeln. Ein derartiger Nachteil liegt vor, wenn er auch durch einen für den Betroffenen günstigen Endentscheid nicht mehr gänzlich behoben werden könnte. Ein bloss tatsächlicher Nachteil wie die Verlängerung oder Verteuerung des Verfahrens genügt nicht ( BGE 137 III 380 E. 1.2.1 S. 382; 137 IV 172 E. 2.1 S. 173 f.; je mit Hinweisen).</w:t>
      </w:r>
    </w:p>
    <w:p>
      <w:r>
        <w:t>Nach der Rechtsprechung bewirkt die Auferlegung von Kosten in einem Haftbeschwerdeverfahren keinen nicht wieder gutzumachenden Nachteil rechtlicher Natur (Urteil 1B_233/2012 vom 21. August 2012 E. 2). Dies entspricht der ständigen Praxis in vergleichbaren Fällen ( BGE 135 III 329 E. 1.2.1 f. S. 332 ff. mit Hinweisen). Die Beschwerdeführerin bringt nichts vor, was es rechtfertigen könnte, darauf zurückzukommen.</w:t>
      </w:r>
    </w:p>
    <w:p>
      <w:r>
        <w:t>Die Beschwerdeführerin kann den vorinstanzlichen Kostenentscheid mit dem Endentscheid in der Hauptsache anfechten. Sollte sie schuldig gesprochen werden, könnte sie den Kostenentscheid nach Erschöpfung des kantonalen Instanzenzugs zusammen mit dem Strafurteil an das Bundesgericht weiterziehen. Sollte das Strafverfahren zu ihren Gunsten ausgehen (Einstellung oder Freispruch), womit sie kein Interesse an der Weiterziehung des Entscheids in der Hauptsache hätte, könnte sie nach dessen Rechtskraft den vorinstanzlichen Kostenentscheid innerhalb der Frist von Art. 100 BGG selbständig an das Bundesgericht weiterziehen (vgl. BGE 133 V 645 E. 2.2 S. 648 ; 122 I 39 E. 1a/bb S. 42 f.; 117 Ia 251 E. 1b S. 254 f.; Urteil 2C_60/2011 vom 12. Mai 2011 E. 1, publ. in: JdT 2012 I 36; je mit Hinweisen).</w:t>
      </w:r>
    </w:p>
    <w:p>
      <w:r>
        <w:t>Auf die Beschwerde kann deshalb nicht eingetreten werden.</w:t>
      </w:r>
    </w:p>
    <w:p>
      <w:r>
        <w:t>Da der Beschwerdeführerin gegen den angefochtenen Kostenentscheid noch ein Rechtsmittel zur Verfügung steht, ist dieser nicht rechtskräftig ( BGE 135 III 329 E. 1.2.1 S. 332 mit Hinweis). Sie muss den Betrag von Fr. 1'580.-- also noch nicht bezahlen.</w:t>
      </w:r>
    </w:p>
    <w:p>
      <w:r>
        <w:rPr>
          <w:b/>
        </w:rPr>
        <w:t>E. 2</w:t>
      </w:r>
    </w:p>
    <w:p>
      <w:r>
        <w:t>Im Lichte der Rechtsprechung war die Beschwerde aussichtslos. Die unentgeltliche Rechtspflege und Verbeiständung nach Art. 64 BGG kann deshalb nicht bewilligt werden. In Anbetracht der finanziellen Verhältnisse der Beschwerdeführerin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