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1B_632/2020 vom 17. März 2021</w:t>
      </w:r>
    </w:p>
    <w:p>
      <w:r>
        <w:t>Bundesgericht, 2021-03-17, FR</w:t>
      </w:r>
    </w:p>
    <w:p>
      <w:r>
        <w:rPr>
          <w:b/>
        </w:rPr>
        <w:t xml:space="preserve">Quelle: </w:t>
      </w:r>
      <w:r>
        <w:t>https://mcp.opencaselaw.ch/entscheid/bger_1B_632_2020</w:t>
      </w:r>
    </w:p>
    <w:p>
      <w:r>
        <w:t>FR: TF 1B_632/2020 du 17 mars 2021</w:t>
      </w:r>
    </w:p>
    <w:p>
      <w:r>
        <w:t>IT: TF 1B_632/2020 del 17 marzo 2021</w:t>
      </w:r>
    </w:p>
    <w:p>
      <w:pPr>
        <w:pStyle w:val="Heading2"/>
      </w:pPr>
      <w:r>
        <w:t>Erwägungen</w:t>
      </w:r>
    </w:p>
    <w:p>
      <w:r>
        <w:rPr>
          <w:b/>
        </w:rPr>
        <w:t>E. 1</w:t>
      </w:r>
    </w:p>
    <w:p>
      <w:r>
        <w:t>Le recours est dirigé contre une décision prise en dernière instance cantonale ( art. 80 LTF ) interdisant à Me A.________ de représenter le prévenu B.________ dans la présente cause pénale (PE20.015827) et rejetant la demande de récusation formée à l'encontre du Procureur Gabriel Moret. Le recours est donc en principe recevable comme un recours en matière pénale au sens des art. 78 ss LTF (arrêts 1B_191/2020 du 26 août 2020 consid. 1; 1B_20/2017 du 23 février 2017 consid. 1.1).</w:t>
      </w:r>
    </w:p>
    <w:p>
      <w:r>
        <w:t>Le recours de l'avocat évincé est recevable, la décision attaquée présentant, pour lui, un caractère final ( art. 90 LTF ; arrêts 1B_191/2020 du 26 août 2020 consid. 1; 1B_209/2019 du 19 septembre 2019 consid. 2.2; 1B_226/2016 du 15 septembre 2016 consid. 1).</w:t>
      </w:r>
    </w:p>
    <w:p>
      <w:r>
        <w:t>Les autres conditions de recevabilité étant remplies, il y a lieu d'entrer en matière sur le fond.</w:t>
      </w:r>
    </w:p>
    <w:p>
      <w:r>
        <w:rPr>
          <w:b/>
        </w:rPr>
        <w:t>E. 2</w:t>
      </w:r>
    </w:p>
    <w:p>
      <w:r>
        <w:t>Aux termes de son arrêt du 20 novembre 2020, la Chambre des recours pénale a interdit à l'avocat A.________ d'assister ou de représenter le prévenu dans la présente cause pénale (chiffre I), a imparti un délai de 10 jours au prévenu pour qu'il ratifie l'acte déposé en son nom le 28 septembre 2020 (chiffre II) et a rejeté la demande de récusation présentée le 28 septembre 2020 à l'encontre du Procureur Gabriel Moret (chiffre III). La cour cantonale a considéré qu'il existait un conflit d'intérêts au regard de l'art. 12 let. a, b et c LLCA, respectivement 13 LLCA, entre Me A.________ et son client B.________, le motif de ce conflit résidant dans la personne de l'avocat. Ainsi, selon la cour cantonale, les circonstances invoquées, à l'appui de la demande de récusation, devaient non seulement conduire Me A.________ à en informer son client lorsque celui-ci l'avait consulté le 25 septembre 2020, mais également à refuser le mandat ou à résilier celui-ci s'il l'avait accepté. Au vu de l'existence de ce conflit, la capacité de postuler devait être déniée à Me A.________. La demande de récusation était ainsi manifestement mal fondée, puisqu'elle reposait sur un motif qui n'existait plus dès lors que la capacité de postuler de l'avocat recourant était déniée. Enfin, le recours dirigé contre la décision du 18 septembre 2020 ordonnant l'établissement d'un profil ADN était touché par l'incapacité de postuler de l'avocat dans la présente procédure pénale et émanait donc d'un représentant sans pouvoirs; à défaut de ratification, l'acte de recours était donc affecté d'un vice.</w:t>
      </w:r>
    </w:p>
    <w:p>
      <w:r>
        <w:rPr>
          <w:b/>
        </w:rPr>
        <w:t>E. 3</w:t>
      </w:r>
    </w:p>
    <w:p>
      <w:r>
        <w:t>Dans un grief de nature formelle, le recourant se plaint d'une violation du droit d'être entendu en tant que l'instance précédente, appelée notamment à statuer sur une demande de récusation, a prononcé une interdiction de postuler dans la présente cause pénale, sans lui avoir offert la possibilité de se déterminer à ce sujet. Il ne pouvait pas s'y attendre dans la mesure où le Procureur intimé avait affirmé qu'il se dessaisirait de l'affaire et que la Cour administrative ne lui avait pas interdit de postuler. De plus, il ignorait que la Chambre des recours pénale avait obtenu une copie non caviardée de la décision rendue le 26 octobre 2020 par la Cour administrative concernant la demande de levée du secret professionnel; son droit d'être entendu avait également été violé sur ce second point dès lors qu'il n'avait pas été informé que cette décision du 26 octobre 2020 avait été versée au dossier et qu'il n'avait pas pu exercer son droit à la réplique.</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p. 17; 143 V 71 consid. 3.4.1 p. 72; 136 I 265 consid. 3.2 p. 272).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144 II 246 consid. 12.3 p. 265; 130 III 35 consid. 5 p. 39; 129 II 497 consid. 2.2 p. 504 s.).</w:t>
      </w:r>
    </w:p>
    <w:p>
      <w:r>
        <w:rPr>
          <w:b/>
        </w:rPr>
        <w:t>E. 3.2</w:t>
      </w:r>
    </w:p>
    <w:p>
      <w:r>
        <w:t>En l'occurrence, le prononcé de l'interdiction de postuler faite à l'avocat par la Chambre des recours pénale - qui était notamment saisie d'une demande de récusation à l'encontre du Procureur intimé - ne pouvait pas être raisonnablement prévue par l'avocat. En effet, le magistrat visé par la demande de récusation n'avait en particulier formulé aucune conclusion en ce sens; il avait d'ailleurs affirmé que la cause serait confiée, par la voie d'une ordonnance de jonction, au magistrat en charge de la première affaire pénale ouverte contre le prévenu, de sorte que la demande de récusation paraissait désormais sans objet. Dans ces circonstances, la Chambre des recours pénale devait offrir à l'avocat recourant l'occasion de s'exprimer sur la question d'une éventuelle interdiction de postuler. En omettant de le faire, l'instance précédente a violé le droit d'être entendu de l'avocat recourant. La violation du droit d'être entendu ne peut pas être réparée devant le Tribunal fédéral (cf. arrêt 1B_348/2019 du 18 septembre 2019 consid. 3.2; ATF 137 I 195 consid. 2.7 p. 199).</w:t>
      </w:r>
    </w:p>
    <w:p>
      <w:r>
        <w:t>Partant, le recours est adm is et les chiffres I, III et IV du dispositif de l'arrêt attaqué (interdiction de postuler; rejet de la demande de récusation et frais) sont annulés, sans qu'il soit nécessaire d'examiner les autres griefs soulevés. La cause sera renvoyée à la Chambre des recours pénale pour nouvelle décision, après avoir octroyé à l'avocat recourant la possibilité d'exercer son droit d'être entendu.</w:t>
      </w:r>
    </w:p>
    <w:p>
      <w:r>
        <w:rPr>
          <w:b/>
        </w:rPr>
        <w:t>E. 4</w:t>
      </w:r>
    </w:p>
    <w:p>
      <w:r>
        <w:t>Le présent arrêt sera rendu sans frais ( art. 66 al. 4 LTF ). Il n'y a pas lieu d'allouer des dépens à l'avocat recourant qui, comme en l'espèce, agit dans sa propre cause sans invoquer un investissement particulier et qui ne fait pas valoir de frais spécifiques ( ATF 129 II 297 consid. 5 p. 304; arrêt 2C_45/2016 du 11 juillet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