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1B_62/2022 vom 9. Februar 2022</w:t>
      </w:r>
    </w:p>
    <w:p>
      <w:r>
        <w:t>Bundesgericht, 2022-02-09, DE</w:t>
      </w:r>
    </w:p>
    <w:p>
      <w:r>
        <w:rPr>
          <w:b/>
        </w:rPr>
        <w:t xml:space="preserve">Quelle: </w:t>
      </w:r>
      <w:r>
        <w:t>https://mcp.opencaselaw.ch/entscheid/bger_1B_62_2022</w:t>
      </w:r>
    </w:p>
    <w:p>
      <w:r>
        <w:t>FR: TF 1B_62/2022 du 9 février 2022</w:t>
      </w:r>
    </w:p>
    <w:p>
      <w:r>
        <w:t>IT: TF 1B_62/2022 del 9 febbraio 2022</w:t>
      </w:r>
    </w:p>
    <w:p>
      <w:pPr>
        <w:pStyle w:val="Heading2"/>
      </w:pPr>
      <w:r>
        <w:t>Erwägungen</w:t>
      </w:r>
    </w:p>
    <w:p>
      <w:r>
        <w:rPr>
          <w:b/>
        </w:rPr>
        <w:t>E. 1</w:t>
      </w:r>
    </w:p>
    <w:p>
      <w:r>
        <w:t>Mit Beschluss vom 22. Dezember 2021 hat der Obergerichtspräsident II von Obwalden eine Beschwerde von A.________ wegen "nicht erhaltener Akteneinsicht" als gegenstandslos abgeschrieben. Zur Begründung hat er angeführt, A.________ habe "keine original unterzeichnete Eingabe" gemacht und diesen Mangel auch innert der ihm zur Verbesserung der Beschwerde angesetzten Frist nicht behoben.</w:t>
      </w:r>
    </w:p>
    <w:p>
      <w:r>
        <w:t>Mit Eingabe vom 31. Januar 2022 erhebt A.________ Beschwerde gegen diesen Beschluss.</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Der Beschwerdeführer setzt sich mit dem angefochtenen Entscheid nicht auseinander und legt nicht dar, inwiefern er bundesrechtswidrig sein soll. Auf die Beschwerde ist wegen Verletzung der gesetzlichen Begründungspflicht nicht einzutreten, wobei auf die Erhebung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