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1B_62/2020 vom 9. März 2020</w:t>
      </w:r>
    </w:p>
    <w:p>
      <w:r>
        <w:t>Bundesgericht, 2020-03-09, FR</w:t>
      </w:r>
    </w:p>
    <w:p>
      <w:r>
        <w:rPr>
          <w:b/>
        </w:rPr>
        <w:t xml:space="preserve">Quelle: </w:t>
      </w:r>
      <w:r>
        <w:t>https://mcp.opencaselaw.ch/entscheid/bger_1B_62_2020</w:t>
      </w:r>
    </w:p>
    <w:p>
      <w:r>
        <w:t>FR: TF 1B_62/2020 du 9 mars 2020</w:t>
      </w:r>
    </w:p>
    <w:p>
      <w:r>
        <w:t>IT: TF 1B_62/2020 del 9 marzo 2020</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46 al. 1 let . c et 100 al. 1 LTF) contre une décision rendue en dernière instance cantonale ( art. 80 al. 1 LTF ) et les conclusions prises sont recevables ( art. 107 LTF ). Il y a donc lieu d'entrer en matière.</w:t>
      </w:r>
    </w:p>
    <w:p>
      <w:r>
        <w:rPr>
          <w:b/>
        </w:rPr>
        <w:t>E. 2</w:t>
      </w:r>
    </w:p>
    <w:p>
      <w:r>
        <w:t>Invoquant une violation de l' art. 56 let . f CPP, le recourant fait valoir que les actes qui lui ont été adressés par la magistrate intimée les 16 septembre 2019, 8 octobre 2019 et 15 octobre 2019 consacrent, pris dans leur ensemble, l'existence d'une prévention à son égard, ainsi qu'à celui de son conseil.</w:t>
      </w:r>
    </w:p>
    <w:p>
      <w:r>
        <w:rPr>
          <w:b/>
        </w:rPr>
        <w:t>E. 2.1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2.2</w:t>
      </w:r>
    </w:p>
    <w:p>
      <w:r>
        <w:t>Il est observé que la cour cantonale a procédé à un examen détaillé du contenu des écritures mises en cause par le recourant (cf. ordonnance entreprise, p. 7 s).</w:t>
      </w:r>
    </w:p>
    <w:p>
      <w:r>
        <w:t>Elle a ainsi relevé, s'agissant de la décision du 16 septembre 2019, que la magistrate intimée ne s'était aucunement méprise en concluant, à l'issue de l'examen sommaire prescrit par la loi (cf. art. 329 al. 1 CPP ), qu'il n'y avait pas lieu de suspendre la procédure afin de compléter l'acte d'accusation, ce qui constituait l'objet central de la vérification qu'elle était tenue d'opérer en vertu de la disposition précitée. De surcroît, aux termes de l'ordonnance que l'autorité précédente avait également rendue le 23 décembre 2019, l'intimée n'avait pas commis de déni de justice en refusant de faire suivre à l'autorité de recours l'acte du 2 août 2019 par lequel le recourant se plaignait de l'acte d'accusation. En tant que l'intimée était revenue sur d'autres points que le seul examen de la conformité de l'acte d'accusation au sens de l' art. 329 CPP , tels que la question du for ou celle d'une éventuelle jonction de cause, c'était à titre superfétatoire, par souci de clarifier globalement la situation litigieuse entourant l'acte d'accusation, dont le renvoi était requis, et non pour se substituer à l'autorité de recours. En tout état de cause, les griefs du recourant en lien avec la décision du 16 septembre 2019 portaient sur des questions de procédure susceptibles d'être déférées devant des juridictions de recours normalement compétentes pour constater et redresser les erreurs éventuellement commises.</w:t>
      </w:r>
    </w:p>
    <w:p>
      <w:r>
        <w:t>Quant au courrier du 8 octobre 2019, il ne comportait que la simple énonciation de la confirmation de la décision du 16 septembre 2019. Enfin, dans son courrier du 15 octobre 2019, la magistrate intimée avait expliqué de manière plausible et référencée pour quelle raison elle n'avait accordé qu'une prolongation de délai de 5 jours. Il n'y avait non plus rien d'exorbitant ni d'inhabituel d'avoir fait référence à l' art. 344 CPP pour se réserver une appréciation juridique différente de celle du Ministère public, alors même qu'elle serait fondée sur un fait contesté, voire inexact, comme le soutenait le recourant. Quant à l'édition d'un dossier connexe clos par un classement, celle-ci répondait de façon crédible à un souci de commodité formelle, les actes principaux de ce dossier figurant déjà au dossier de la cause, mais classés de manière éparse.</w:t>
      </w:r>
    </w:p>
    <w:p>
      <w:r>
        <w:rPr>
          <w:b/>
        </w:rPr>
        <w:t>E. 2.3</w:t>
      </w:r>
    </w:p>
    <w:p>
      <w:r>
        <w:t>A l'instar de la cour cantonale, on ne distingue pas, dans les trois écritures précitées, d'éléments propres à retenir que la magistrate intimée pourrait, par des erreurs qui auraient été commises, avoir contrevenu de manière lourde et répétée à ses devoirs de magistrat, ni a fortiori que leur teneur dénoterait, ainsi que le soutient le recourant, une "hostilité à son égard". En outre, en tant que le recourant prétend que ces écritures consacrent des violations de règles de procédure, telles que notamment celles de son droit d'être entendu ( art. 6 CEDH et 29 al. 2 et 32 al. 2 Cst.), de la maxime d'accusation ( art. 9 CPP ) et de diverses dispositions du CPP concernant la procédure de première instance ( art. 328 ss CPP ), on ne voit pas qu'il serait empêché, le cas échéant, de remettre en cause les actes de procédure de l'intimée dans le cadre des voies de droit ordinairement prévues par la loi.</w:t>
      </w:r>
    </w:p>
    <w:p>
      <w:r>
        <w:t>La Chambre pénale pouvait par conséquent, sans violer le droit fédéral, rejeter la requête de récusation.</w:t>
      </w:r>
    </w:p>
    <w:p>
      <w:r>
        <w:rPr>
          <w:b/>
        </w:rPr>
        <w:t>E. 3</w:t>
      </w:r>
    </w:p>
    <w:p>
      <w:r>
        <w:t>Il s'ensuit que le recours doit être rejeté. Le recourant, qui succombe, supporte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