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1B_628/2021 vom 20. April 2022</w:t>
      </w:r>
    </w:p>
    <w:p>
      <w:r>
        <w:t>Bundesgericht, 2022-04-20, DE</w:t>
      </w:r>
    </w:p>
    <w:p>
      <w:r>
        <w:rPr>
          <w:b/>
        </w:rPr>
        <w:t xml:space="preserve">Quelle: </w:t>
      </w:r>
      <w:r>
        <w:t>https://mcp.opencaselaw.ch/entscheid/bger_1B_628_2021</w:t>
      </w:r>
    </w:p>
    <w:p>
      <w:r>
        <w:t>FR: TF 1B_628/2021 du 20 avril 2022</w:t>
      </w:r>
    </w:p>
    <w:p>
      <w:r>
        <w:t>IT: TF 1B_628/2021 del 20 aprile 2022</w:t>
      </w:r>
    </w:p>
    <w:p>
      <w:pPr>
        <w:pStyle w:val="Heading2"/>
      </w:pPr>
      <w:r>
        <w:t>Erwägungen</w:t>
      </w:r>
    </w:p>
    <w:p>
      <w:r>
        <w:rPr>
          <w:b/>
        </w:rPr>
        <w:t>E. 1</w:t>
      </w:r>
    </w:p>
    <w:p>
      <w:r>
        <w:t>Die Verfahren 1B_628/2021 und 1B_644/2021 betreffen dasselbe Entsiegelungsverfahren und haben die gleichen Rechtsfragen zum Gegenstand. Die Verfahren 1B_628/2021 und 1B_644/2021 sind daher zu vereinigen und die Sache ist in einem einzigen Urteil zu behandeln.</w:t>
      </w:r>
    </w:p>
    <w:p>
      <w:r>
        <w:rPr>
          <w:b/>
        </w:rPr>
        <w:t>E. 2</w:t>
      </w:r>
    </w:p>
    <w:p>
      <w:r>
        <w:t>Gegen die angefochtenen Entscheide steht die Beschwerde in Strafsachen gemäss Art. 78 Abs. 1 BGG grundsätzlich offen. Das Zwangsmassnahmengericht entscheidet im Entsiegelungsverfahren gemäss Art. 248 Abs. 3 lit. a i.V.m. Art. 380 StPO als einzige kantonale Instanz. Die Beschwerden sind somit auch nach Art. 80 Abs. 2 BGG zulässig. Die im vorinstanzlichen Verfahren als weitere Verfahrensbeteiligte zugelassene Beschwerdeführerin ist grundsätzlich zur Beschwerde legitimiert ( Art. 81 Abs. 1 BGG ).</w:t>
      </w:r>
    </w:p>
    <w:p>
      <w:r>
        <w:rPr>
          <w:b/>
        </w:rPr>
        <w:t>E. 3</w:t>
      </w:r>
    </w:p>
    <w:p>
      <w:r>
        <w:t>Die angefochtenen Entscheide schliessen das Strafverfahren nicht ab (Art. 90 f. BGG). Es handelt sich um selbstständig eröffnete Zwischenentscheide, die nur unter den Voraussetzungen von Art. 92 oder Art. 93 BGG angefochten werden können. Die angefochtenen Entscheide betreffen weder die Zuständigkeit noch den Ausstand ( Art. 92 BGG ). Es handelt sich somit um "andere Zwischenentscheide" im Sinne von Art. 93 BGG . Gemäss Art. 93 Abs. 1 BGG ist die Beschwerde gegen einen derartigen Zwischenentscheid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weshalb einzig zu prüfen ist, ob die angefochtenen Entscheide einen nicht wieder gutzumachenden Nachteil bewirken können.</w:t>
      </w:r>
    </w:p>
    <w:p>
      <w:r>
        <w:rPr>
          <w:b/>
        </w:rPr>
        <w:t>E. 3.1</w:t>
      </w:r>
    </w:p>
    <w:p>
      <w:r>
        <w:t>Nach der Rechtsprechung muss es sich beim nicht wieder gutzumachenden Nachteil gemäss Art. 93 Abs. 1 lit. a BGG im Strafrecht um einen solchen rechtlicher Natur handeln. Ein derartiger Nachteil liegt vor, wenn er auch durch einen für die Beschwerdeführerin günstigen späteren Entscheid nicht mehr behoben werden kann ( BGE 144 IV 127 E. 1.3.1). Ein lediglich tatsächlicher Nachteil wie die Verteuerung oder Verlängerung des Verfahrens genügt nicht ( BGE 142 III 798 E. 2.2). Denn die Beschwerdevoraussetzungen nach Art. 93 Abs. 1 BGG sollen das Bundesgericht entlasten, dieses soll sich wenn möglich nur einmal mit einer Sache befassen ( BGE 135 II 30 E. 1.3.2). Die Beschwerdeführerin muss, wenn das nicht offensichtlich ist, im Einzelnen darlegen, inwiefern ihr ein nicht wieder gutzumachender Nachteil rechtlicher Natur drohen soll. Andernfalls kann auf die Beschwerde mangels hinreichender Begründung ( Art. 42 Abs. 1 und 2 BGG ) nicht eingetreten werden ( BGE 142 III 798 E. 2.2; 137 III 324 E. 1.1; je mit Hinweisen).</w:t>
      </w:r>
    </w:p>
    <w:p>
      <w:r>
        <w:rPr>
          <w:b/>
        </w:rPr>
        <w:t>E. 3.2</w:t>
      </w:r>
    </w:p>
    <w:p>
      <w:r>
        <w:t>Die Beschwerdeführerin bringt diesbezüglich vor, mangels Akteneinsicht betreffend die Daten der Kategorien B und C sei es ihr nicht möglich, ihrer Substantiierungspflicht innert der von der Vorinstanz angesetzten Frist (bzw. überhaupt) nachzukommen. Dies führe dazu, dass die Vorinstanz, welche bei den Daten der Kategorien B und C implizit von untersuchungsrelevanten Daten ausgehe, allfällige Daten entsiegeln werde, welche ihren Intim- und Privatbereich beträfen. Zudem sei es ihr nicht möglich, gegen einen solchen Entsiegelungsentscheid ein Rechtsmittel zu ergreifen, da sie mangels Akteneinsicht gar nicht in der Lage sei festzustellen, ob sich unter den entsiegelten Daten solche befänden, die ihren Intim- und Privatbereich betreffen würden. Damit drohe ihr ein nicht wieder gutzumachender Nachteil.</w:t>
      </w:r>
    </w:p>
    <w:p>
      <w:r>
        <w:rPr>
          <w:b/>
        </w:rPr>
        <w:t>E. 3.3</w:t>
      </w:r>
    </w:p>
    <w:p>
      <w:r>
        <w:t>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 BGE 143 IV 462 E. 1; Urteil 1B_435/2021 vom 8. Dezember 2021 E. 1.2). Entgegen der Auffassung der Beschwerdeführerin ist dies vorliegend jedoch gerade nicht der Fall. Die Vorinstanz hat noch nicht über die Entsiegelung der Daten der Kategorien B und C entschieden, sondern einzig prozessleitende Verfügungen (Fristansetzungen zur Stellungnahme) im Hinblick auf diesen Entscheid erlassen. Eine Offenbarung der von der Beschwerdeführerin vorgebrachten Geheimnisse droht (zumindest noch) nicht; die Aussage, wonach die Vorinstanz das Entsiegelungsgesuch der Staatsanwaltschaft gutheissen werde, ist Spekulation.</w:t>
      </w:r>
    </w:p>
    <w:p>
      <w:r>
        <w:t>Sofern die Vorinstanz zu einem späteren Zeitpunkt die Entsiegelung der Daten der Kategorien B und C anordnen sollte und die Beschwerdeführerin der Ansicht wäre, dem stünden allenfalls geschützte Geheimhaltungsinteressen entgegen, so wäre sie ohne weiteres legitimiert, gegen den Entsiegelungsentscheid Beschwerde zu führen. Inwiefern die im vorliegenden Verfahren von der Beschwerdeführerin gerügten Verletzungen ihrer Verfahrensrechte mit einem allfälligen günstigen späteren (den eigentlichen Entsiegelungsentscheid betreffenden) Entscheid zu ihren Gunsten nicht mehr behoben werden könnten, wird von ihr nicht dargelegt und ist auch nicht ersichtlich (vgl. Urteil 5A_85/2014 vom 24. Februar 2014 E. 2.2.2).</w:t>
      </w:r>
    </w:p>
    <w:p>
      <w:r>
        <w:rPr>
          <w:b/>
        </w:rPr>
        <w:t>E. 3.4</w:t>
      </w:r>
    </w:p>
    <w:p>
      <w:r>
        <w:t>Nichts anderes ergibt sich, wenn man die Begehren der Beschwerdeführerin dergestalt auslegt, dass sie sich nicht in erster Linie gegen die Fristansetzungen an sich, sondern gegen eine (allenfalls implizit verfügte) Verweigerung der Akteneinsicht richten. Denn nach der bundesgerichtlichen Rechtsprechung bewirkt die Beschränkung der Akteneinsicht grundsätzlich keinen nicht wieder gutzumachenden Nachteil, da sie - wie die Ablehnung eines Beweisantrags oder jede andere Verweigerung des rechtlichen Gehörs - bei der Anfechtung des Endentscheids voll wirksam gerügt werden kann (statt vieler Urteil 1C_331/2019 vom 23. September 2019 E. 2.2 mit Hinweisen). Eine Ausnahme besteht nur im Strafprozessrecht, wo aufgrund der speziellen Verfahrensgarantie in Art. 101 Abs. 1 StPO ein nicht wieder gutzumachender Nachteil bejaht wird, wenn das Akteneinsichtsrecht nach erfolgter erster Einvernahme der beschuldigten Person verweigert wird (Urteil 1B_585/2021 vom 16. Februar 2022 E. 1.2 mit Hinweisen; zur Situation vor der ersten Einvernahme siehe BGE 137 IV 172 E. 2). Vorliegend ist indessen nicht das Akteneinsichtsrecht gemäss Art. 101 Abs. 1 StPO im Strafverfahren streitig, sondern ob (und durch wen) im Entsiegelungsverfahren ein Einsichtsrecht in gesiegelte Dokumente besteht. Diese Frage kann vom Bundesgericht ohne Rechtsverlust für die Beschwerdeführerin im Rahmen einer allfälligen späteren Überprüfung des eigentlichen Entsiegelungsentscheids beantwortet werden (vgl. Urteil 1B_28/2021 vom 4. November 2021 E. 1.6).</w:t>
      </w:r>
    </w:p>
    <w:p>
      <w:r>
        <w:rPr>
          <w:b/>
        </w:rPr>
        <w:t>E. 3.5</w:t>
      </w:r>
    </w:p>
    <w:p>
      <w:r>
        <w:t>Zusammenfassend ist festzuhalten, dass die angefochtenen Entscheide nicht geeignet sind, einen nicht wieder gutzumachenden Nachteil im Sinne von Art. 93 Abs. 1 lit. a BGG zu bewirken. Inwiefern die weiteren Eintretensvoraussetzungen - namentlich Art. 42 BGG - erfüllt sind, kann deshalb offenbleiben.</w:t>
      </w:r>
    </w:p>
    <w:p>
      <w:r>
        <w:rPr>
          <w:b/>
        </w:rPr>
        <w:t>E. 4</w:t>
      </w:r>
    </w:p>
    <w:p>
      <w:r>
        <w:t>Nach dem Gesagten ist auf die Beschwerden nicht einzutreten. Bei diesem Ausgang des Verfahrens sind die Gerichtskosten der Beschwerdeführerin aufzuerlegen und es sind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