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1B_628/2020 vom 15. April 2021</w:t>
      </w:r>
    </w:p>
    <w:p>
      <w:r>
        <w:t>Bundesgericht, 2021-04-15, FR</w:t>
      </w:r>
    </w:p>
    <w:p>
      <w:r>
        <w:rPr>
          <w:b/>
        </w:rPr>
        <w:t xml:space="preserve">Quelle: </w:t>
      </w:r>
      <w:r>
        <w:t>https://mcp.opencaselaw.ch/entscheid/bger_1B_628_2020</w:t>
      </w:r>
    </w:p>
    <w:p>
      <w:r>
        <w:t>FR: TF 1B_628/2020 du 15 avril 2021</w:t>
      </w:r>
    </w:p>
    <w:p>
      <w:r>
        <w:t>IT: TF 1B_628/2020 del 15 aprile 2021</w:t>
      </w:r>
    </w:p>
    <w:p>
      <w:pPr>
        <w:pStyle w:val="Heading2"/>
      </w:pPr>
      <w:r>
        <w:t>Erwägungen</w:t>
      </w:r>
    </w:p>
    <w:p>
      <w:r>
        <w:rPr>
          <w:b/>
        </w:rPr>
        <w:t>E. 1</w:t>
      </w:r>
    </w:p>
    <w:p>
      <w:r>
        <w:t>Le Tribunal fédéral examine d'office sa compétence ( art. 29 al. 1 LTF ) et librement la recevabilité des recours qui lui sont soumis ( ATF 145 I 239 consid. 2 p. 241).</w:t>
      </w:r>
    </w:p>
    <w:p>
      <w:r>
        <w:rPr>
          <w:b/>
        </w:rPr>
        <w:t>E. 1.1</w:t>
      </w:r>
    </w:p>
    <w:p>
      <w:r>
        <w:t>Selon l' art. 79 LTF , le recours en matière pénale est recevable contre les décisions de la Cour des plaintes du Tribunal pénal fédéral qui portent sur des mesures de contrainte, soit notamment les décisions relatives à des perquisitions ( ATF 143 IV 85 consid. 1.2 p. 87). Tel est le cas en l'occurrence même si la recourante ne conteste pas la validité du mandat de perquisition (n° 2), puisque l'arrêt attaqué confirme en substance la licéité des actes opérés par la PJF lors de son exécution (voir également ATF 132 IV 63 consid. 5.2 p. 68 s.).</w:t>
      </w:r>
    </w:p>
    <w:p>
      <w:r>
        <w:rPr>
          <w:b/>
        </w:rPr>
        <w:t>E. 1.2</w:t>
      </w:r>
    </w:p>
    <w:p>
      <w:r>
        <w:t>Contrairement à ce que soutient la recourante, la décision attaquée n'est pas finale (cf. art. 90 LTF ), puisqu'elle ne met pas un terme à la procédure pénale ouverte notamment à son encontre. Le prononcé entrepris est donc de nature incidente et le recours au Tribunal fédéral n'est ainsi en principe recevable qu'en présence d'un préjudice irréparable au sens de l' art. 93 al. 1 let. a LTF (l' art. 93 al. 1 let. b LTF n'étant pas applicable en l'occurrence).</w:t>
      </w:r>
    </w:p>
    <w:p>
      <w:r>
        <w:t>En matière pénale, un tel préjudice se rapporte à un dommage de nature juridique qui ne puisse pas être réparé ultérieurement par un jugement final ou une autre décision favorable au recourant ( ATF 144 IV 127 consid. 1.3.1 p. 130). Selon la jurisprudence, toute mesure de contrainte n'entraîne pas par principe un tel préjudice ( ATF 136 IV 92 consid. 3.3 p. 95; arrêt 1B_521/2019 du 14 novembre 2019 consid. 2) et il incombe dès lors au recourant de démontrer l'existence d'un tel préjudice lorsque celui-ci n'est pas d'emblée évident ( ATF 141 IV 289 consid. 1.3 p. 292; 284 consid. 2.3 p. 287).</w:t>
      </w:r>
    </w:p>
    <w:p>
      <w:r>
        <w:rPr>
          <w:b/>
        </w:rPr>
        <w:t>E. 1.2.1</w:t>
      </w:r>
    </w:p>
    <w:p>
      <w:r>
        <w:t>A cet égard, la recourante soutient en substance qu'en l'absence de toute saisie, la question du comportement litigieux de la PJF - laquelle aurait violé la garantie de ne pas s'auto-incriminer (cf. les art. 113 CPP , 6 par. 1 et 2 CEDH, 14 ch. 3 let. g Pacte ONU II et 29 al. 1 Cst.) - ne pourrait pas être revue dans une autre décision ultérieure, notamment celle mettant un terme à la procédure pénale. Selon la recourante, si tel devait être le cas, elle se verrait en outre opposer le défaut d'intérêt juridique à l'examen de cette problématique vu l'écoulement du temps. La recourante affirme également avoir des raisons sérieuses de craindre que les agissements reprochés à la PJF se reproduisent à l'avenir.</w:t>
      </w:r>
    </w:p>
    <w:p>
      <w:r>
        <w:rPr>
          <w:b/>
        </w:rPr>
        <w:t>E. 1.2.2</w:t>
      </w:r>
    </w:p>
    <w:p>
      <w:r>
        <w:t>Tout d'abord, faute de saisie au siège de la recourante le 22 octobre 2019, un préjudice irréparable ne découle pas en l'occurrence de l'éventuelle exploitation - notamment à charge - de moyens de preuve obtenus éventuellement illicitement à la suite des comportements reprochés à la PJF (cf. art. 140 et 141 CPP ; voir pour un exemple, arrêt 1B_234/2018 du 27 juillet 2018).</w:t>
      </w:r>
    </w:p>
    <w:p>
      <w:r>
        <w:t>Il n'est certes ensuite pas exclu - ainsi que l'a retenu l'autorité précédente (cf. consid. 3.4 p. 10 de l'arrêt attaqué) - que d'autres mandats de perquisition puissent être ordonnés par le MPC à l'encontre de la recourante et que ceux-ci soient ensuite exécutés par la PJF. Si tel devait être le cas et dans la mesure où la recourante, assistée par des mandataires professionnels, ne serait pas à même de faire valoir ses droits au cours de cette/ces future (s) perquisition (s), elle n'est manifestement pas dénuée de tout droit : elle peut ainsi faire valoir ses arguments contre la perquisition et son déroulement dans le cadre de la procédure de levée des scellés qui pourrait en découler ou dans celle relative à une éventuelle décision de séquestre (ANDREAS J. KELLER, in DONATSCH/SUMMERS/LIEBER/WOHLERS [édit.], Kommentar zur Schweizerischen Strafprozessordnung [StPO], 3e éd. 2020, n° 16 ad art. 244 CPP ; CATHERINE HOHL-CHIRAZI, in Commentaire romand, Code de procédure pénale suisse, 2e éd. 2019, no 48 ad art. 244 CPP ). Elle peut également invoquer, notamment devant le juge du fond, le caractère inexploitable de moyens de preuve obtenus de manière prétendument illicite. Il s'ensuit que l'hypothèse de la répétition d'éventuels actes litigieux de la part de la PJF - pure conjecture au demeurant - ne permet pas d'établir un préjudice irréparable qu'aucune décision ultérieure ne serait à même de réparer.</w:t>
      </w:r>
    </w:p>
    <w:p>
      <w:r>
        <w:t>Enfin, dans la mesure où la recourante ne dispose d'ores et déjà pas d'un intérêt actuel et pratique (cf. ch. 51 ss de son recours relatifs aux conditions permettant exceptionnellement l'entrée en matière indépendamment de la réalisation de cette condition; voir également consid. 3.4 p. 10 s. de l'arrêt attaqué), l'écoulement du temps qui pourrait lui être opposé ne suffit pas pour établir l'existence d'un préjudice irréparable. Cela vaut d'autant plus si la constatation demandée en lien avec les actes du 22 octobre 2019 pourrait finalement ne tendre qu'à l'obtention d'une éventuelle indemnité au sens de l' art. 431 CPP , question entrant dans la compétence du juge du fond ( ATF 140 I 246 consid. 2.5.1 p. 250; arrêt 1B_207/2020 du 26 mai 2020 consid. 1; MIZEL/RÉTORNAZ, in Commentaire romand, Code de procédure pénale suisse, 2e éd. 2019, n° 13 ad art. 431 CPP , auteurs soutenant qu'un prévenu n'est pas astreint à exercer tous les recours à sa disposition dans le seul but d'obtenir un constat d'illicéité dont il pourra se prévaloir ultérieurement; WEHRENBERG/FRANCK, in Basler Kommentar, Schweizerische Strafprozessordnug, Art. 195-457 StPO, 2e éd. 2014, n° 3b ad art. 431 CPP ).</w:t>
      </w:r>
    </w:p>
    <w:p>
      <w:r>
        <w:t>Au regard de ces considérations, la recourante ne subit aucun préjudice irréparable justifiant l'entrée en matière immédiate sur ses griefs en lien avec le déroulement de la perquisition opérée le 22 octobre 2019 et le recours est irrecevable.</w:t>
      </w:r>
    </w:p>
    <w:p>
      <w:r>
        <w:rPr>
          <w:b/>
        </w:rPr>
        <w:t>E. 2</w:t>
      </w:r>
    </w:p>
    <w:p>
      <w:r>
        <w:t>Il s'ensuit que le recours est irrecevable.</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