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1B_627/2020 vom 9. Dezember 2020</w:t>
      </w:r>
    </w:p>
    <w:p>
      <w:r>
        <w:t>Bundesgericht, 2020-12-09, DE</w:t>
      </w:r>
    </w:p>
    <w:p>
      <w:r>
        <w:rPr>
          <w:b/>
        </w:rPr>
        <w:t xml:space="preserve">Quelle: </w:t>
      </w:r>
      <w:r>
        <w:t>https://mcp.opencaselaw.ch/entscheid/bger_1B_627_2020</w:t>
      </w:r>
    </w:p>
    <w:p>
      <w:r>
        <w:t>FR: TF 1B_627/2020 du 9 décembre 2020</w:t>
      </w:r>
    </w:p>
    <w:p>
      <w:r>
        <w:t>IT: TF 1B_627/2020 del 9 dicembre 2020</w:t>
      </w:r>
    </w:p>
    <w:p>
      <w:pPr>
        <w:pStyle w:val="Heading2"/>
      </w:pPr>
      <w:r>
        <w:t>Erwägungen</w:t>
      </w:r>
    </w:p>
    <w:p>
      <w:r>
        <w:rPr>
          <w:b/>
        </w:rPr>
        <w:t>E. 1</w:t>
      </w:r>
    </w:p>
    <w:p>
      <w:r>
        <w:t>Die Staatsanwaltschaft Muri-Bremgarten führt gegen A.________ eine Strafuntersuchung wegen des Verdachts der falschen Anschuldigung, der Irreführung der Rechtspflege, der üblen Nachrede, der Verleumdung, des Hausfriedensbruchs, der Beschimpfung und der Drohung. Mit Verfügung vom 19. November 2019 ordnete die Staatsanwaltschaft Muri-Bremgarten die amtliche Verteidigung von A.________ an. Die Oberstaatsanwaltschaft des Kantons Aargau setzte gleichentags Rechtsanwältin B.________ als amtliche Verteidigerin ein.</w:t>
      </w:r>
    </w:p>
    <w:p>
      <w:r>
        <w:rPr>
          <w:b/>
        </w:rPr>
        <w:t>E. 2</w:t>
      </w:r>
    </w:p>
    <w:p>
      <w:r>
        <w:t>Mit Eingabe vom 8. Oktober 2020 ersuchte die amtliche Verteidigerin um Wechsel der amtlichen Verteidigung. Die Staatsanwaltschaft Muri-Bremgarten wies den Antrag mit Verfügung vom 28. Oktober 2020 ab. Dagegen erhob A.________ am 2. November 2020 Beschwerde. Dabei stellte er auch ein Ausstandsgesuch gegen Staatsanwältin Sarah Zanolini. Die Beschwerdekammer in Strafsachen des Obergerichts des Kantons Aargau trat mit Entscheid vom 17. November 2020 auf die Beschwerde nicht ein und wies das Ausstandsgesuch ab. Zur Begründung führte sie zusammenfassend aus, A.________ habe an der amtlichen Verteidigung festgehalten. Die Verfügung der Staatsanwaltschaft Muri-Bremgarten vom 28. Oktober 2020 habe den sinngemässen Anträgen von A.________ entsprochen, weshalb dieser durch die Verfügung nicht beschwert und folglich auch nicht zur Beschwerdeerhebung legitimiert sei. Für die Beurteilung des vom Beschwerdeführer erstmals mit der Beschwerde gestellten Gesuchs um Entlassung der amtlichen Verteidigung sei nicht die Beschwerdekammer in Strafsachen, sondern Staatsanwältin Zanolini zuständig. Auf die Beschwerde sei deshalb nicht einzutreten. Bezüglich des Ausstandsgesuchs führte die Beschwerdekammer in Strafsachen aus, der Beschwerdeführer lege in seinem Gesuch nicht dar, inwiefern ihm die Staatsanwältin im vorliegenden Strafverfahren das rechtliche Gehör verweigert hätte. Sofern solches im Zusammenhang mit den Nichtanhandnahmeverfügungen aus dem Jahre 2018 der Fall gewesen sein sollte, sei das Ausstandsgesuch verspätet. Ebenfalls nicht ersichtlich sei, inwiefern der Anspruch auf rechtliches Gehör durch die Entgegennahme der Beweisanträge verletzt worden sein soll. Das Ausstandsgesuch sei demnach unbegründet und daher abzuweisen.</w:t>
      </w:r>
    </w:p>
    <w:p>
      <w:r>
        <w:rPr>
          <w:b/>
        </w:rPr>
        <w:t>E. 3</w:t>
      </w:r>
    </w:p>
    <w:p>
      <w:r>
        <w:t>A.________ führt mit Eingabe vom 4. Dezember 2020 Beschwerde in Strafsachen gegen den Entscheid der Beschwerdekammer in Strafsachen des Obergerichts des Kantons Aargau.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mit der Begründung der Beschwerdekammer in Strafsachen nicht rechtsgenüglich auseinander. Mit der Darstellung seiner Sicht der Dinge vermag er nicht im Einzelnen und konkret aufzuzeigen, inwiefern die Begründung der Beschwerdekammer in Strafsachen bzw. deren Entscheid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