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623/2011 vom 28. November 2011</w:t>
      </w:r>
    </w:p>
    <w:p>
      <w:r>
        <w:t>Bundesgericht, 2011-11-28, FR</w:t>
      </w:r>
    </w:p>
    <w:p>
      <w:r>
        <w:rPr>
          <w:b/>
        </w:rPr>
        <w:t xml:space="preserve">Quelle: </w:t>
      </w:r>
      <w:r>
        <w:t>https://mcp.opencaselaw.ch/entscheid/bger_1B_623_2011</w:t>
      </w:r>
    </w:p>
    <w:p>
      <w:r>
        <w:t>FR: TF 1B 623/2011 du 28 novembre 2011</w:t>
      </w:r>
    </w:p>
    <w:p>
      <w:r>
        <w:t>IT: TF 1B 623/2011 del 28 novembre 2011</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en principe ouvert contre une décision relative à la mise en détention pour des motifs de sûreté au sens de l' art. 232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Le recourant a également déposé une demande de récusation du Président de la Chambre pénale d'appel et de révision, qui fait l'objet d'une procédure parallèle. Le grief relatif à la violation des art. 30 al. 1 Cst. et 6 par. 1 CEDH est irrecevable, faute de se rapporter à l'objet de la contestation, lequel consiste en l'espèce dans la mise en détention pour des motifs de sûreté du recourant. Pour le surplus, le recours est formé en temps utile ( art. 100 al. 1 LTF ) contre une décision rendue en dernière instance cantonale ( art. 80 LTF ) et les conclusions présentées sont recevables au regard de l' art. 107 al. 2 LTF . Il y a donc lieu d'entrer en matière sur le fond.</w:t>
      </w:r>
    </w:p>
    <w:p>
      <w:r>
        <w:rPr>
          <w:b/>
        </w:rPr>
        <w:t>E. 2</w:t>
      </w:r>
    </w:p>
    <w:p>
      <w:r>
        <w:t>Il convient d'abord de préciser que, contrairement à ce que retient l'ordonnance attaquée, la demande de motivation de la décision de mise en détention pour des motifs de sûreté, ordonnée par l'arrêt 1B_564 et 565/2011 du 27 octobre 2010 concerne la décision de mise en détention du 30 septembre 2011 et non pas le procès-verbal de l'audience du 29 septembre 2011. L'arrêt susmentionné a expressément précisé que "vu l'issue du recours contre la décision du 30 septembre 2011, le recours contre le procès-verbal de l'audience du 29 septembre 2011, fût-il recevable, devient sans objet" (consid. 2 de l'arrêt précité). La page de garde de l'arrêt 1B_564 et 565/2011 doit donc être comprise, en ce sens que l'objet du recours au Tribunal fédéral concerne la décision de mise en détention pour des motifs de sûreté de la Chambre pénale d'appel et de révision du 30 septembre 2011 et le procès-verbal de l'audience du 29 septembre 2011, ce qui ressort d'ailleurs explicitement de l'état de fait, des considérants et du dispositif de l'arrêt susmentionné. Au demeurant, le délai de 60 jours (exceptionnellement de 90 jours) prévu à l' art. 84 al. 4 CPP , dont se prévaut l'instance précédente, ne s'applique évidemment pas à la motivation de la décision de mise en détention pour des motifs de sûreté, mais à la motivation écrite du jugement au fond. Les motifs de l'ordonnance du 2 novembre 2011 s'appliquent donc à la décision de mise en détention du 30 septembre 2011, de sorte que la conclusion subsidiaire du recourant est sans objet.</w:t>
      </w:r>
    </w:p>
    <w:p>
      <w:r>
        <w:rPr>
          <w:b/>
        </w:rPr>
        <w:t>E. 3</w:t>
      </w:r>
    </w:p>
    <w:p>
      <w:r>
        <w:t>Une mesure de détention provisoire n'est compatible avec la liberté personnelle ( art. 10 al. 2 Cst. et 5 CEDH) que si elle repose sur une base légale (art. 31 al. 1 et 36 al. 1 Cst.), soit en l'espèce les art. 221 et 232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137 IV 122 consid. 2 p. 125-126).</w:t>
      </w:r>
    </w:p>
    <w:p>
      <w:r>
        <w:rPr>
          <w:b/>
        </w:rPr>
        <w:t>E. 4</w:t>
      </w:r>
    </w:p>
    <w:p>
      <w:r>
        <w:t>Le recourant conteste l'existence d'un risque de fuite. Si un tel risque devait toutefois être retenu, il requiert la mise en oeuvre de mesures de substitution au sens de l' art. 237 CPP .</w:t>
      </w:r>
    </w:p>
    <w:p>
      <w:r>
        <w:rPr>
          <w:b/>
        </w:rPr>
        <w:t>E. 4.1</w:t>
      </w:r>
    </w:p>
    <w:p>
      <w:r>
        <w:t>Le recourant se demande d'abord si la juridiction d'appel, saisie du seul appel de la partie plaignante, peut aggraver la peine, alors que le Ministère public a renoncé à faire appel ou à déclarer appel joint. Si tel n'était pas le cas, la décision de mise en détention attaquée conduirait à une prolongation de la détention avant jugement dépassant de manière certaine la durée de la peine prononcée. Ce risque devrait conduire à un examen plus prudent quant à l'existence d'un risque de fuite. Le recourant affirme aussi que la Cour de justice n'avait pas le droit de révoquer le sursis alors que les juges de première instance avaient renoncé à le faire. Il n'appartient pas au juge de la détention de trancher la question de la compétence du juge d'appel pour aggraver la peine, sur la base du seul appel de la partie plaignante, ni celle de la possibilité de celui-ci de révoquer le sursis dans ces conditions. Ces questions seront examinées dans le cadre d'un éventuel recours contre le fond de l'arrêt du 30 septembre 2011. Toutefois, dans la mesure où la réponse à cette question pourrait avoir une incidence sur la détention pour des motifs de sûreté du recourant, il en sera tenu compte dans l'examen du risque de fuite (cf. consid. 4.3 infra). Pour cette raison également, la Cour de justice devra faire en sorte que la motivation de l'arrêt du 30 septembre 2011 soit notifiée dans les meilleurs délais.</w:t>
      </w:r>
    </w:p>
    <w:p>
      <w:r>
        <w:rPr>
          <w:b/>
        </w:rPr>
        <w:t>E. 4.2</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4.3</w:t>
      </w:r>
    </w:p>
    <w:p>
      <w:r>
        <w:t>En l'occurrence, il est vrai que le recourant peut se prévaloir de liens avec la Suisse, dans la mesure où son fils, sa tante et une de ses soeurs y résident. L'intéressé, qui vit en Suisse depuis 20 ans, exerce d'ailleurs régulièrement son droit de visite sur son fils, dont les droits parentaux ont été confiés à son ex-épouse. Cela étant, l'intéressé est ressortissant du Maroc, où vivent ses parents et la plupart de ses frères et soeurs. Les attaches du recourant avec la Suisse doivent de surcroît être mises en balance avec la peine privative de liberté de quatre ans - sous déduction de la détention subie avant jugement - prononcée en appel, qui pourrait l'inciter à faire certains sacrifices pour y échapper. Cet élément doit toutefois être pondéré par le fait que le jugement au fond du 30 septembre 2011 n'est pas exécutoire et qu'un éventuel recours au Tribunal fédéral est possible (cf. supra consid. 4.1). La Cour de justice a aussi retenu que si le recourant est au bénéfice d'un permis C, il ne travaille plus régulièrement depuis de nombreuses années et bénéficie désormais de l'aide sociale. S'ajoute à cela le fait qu'il fait ménage commun avec une jeune femme d'origine algérienne qui est démunie d'autorisation de séjour en Suisse. L'ensemble de ces éléments paraît suffisant pour motiver un risque concret de fuite. En revanche, nul n'est besoin de retenir les autres arguments, non pertinents ou erronés, avancés par l'instance précédente, à savoir l'hypothèse d'un éventuel séjour de l'intéressé en France voisine, la nécessité d'assurer la présence du prévenu à la seconde journée d'audience ou encore la prétendue mise sur pied de nouvelles enquêtes durant la procédure d'appel. Pour le reste, le recourant affirme qu'il a prouvé des recherches d'emploi et n'a entrepris aucune démarche laissant ne serait-ce que soupçonner des velléités de fuite durant les six derniers mois qui ont précédé l'audience d'appel, alors même qu'il savait que la partie plaignante avait fait appel. Cette argumentation est toutefois insuffisante à faire admettre l'invraisemblance du risque de fuite. Il en va de même du fait que les précédentes ordonnances de prolongation de détention furent motivées par le risque de récidive et non pas par le danger de fuite. Enfin, quoi qu'en dise le recourant, il ressort de ce qui précède que la peine prononcée en appel n'est pas le seul motif qui a conduit la Cour de justice à ne pas écarter un danger de fuite et que les conditions de l' art. 232 CPP sont respectées. Dans ces circonstances, c'est à juste titre que la Cour de justice a retenu un risque concret de fuite.</w:t>
      </w:r>
    </w:p>
    <w:p>
      <w:r>
        <w:rPr>
          <w:b/>
        </w:rPr>
        <w:t>E. 4.4</w:t>
      </w:r>
    </w:p>
    <w:p>
      <w:r>
        <w:t>Le recourant prétend encore pouvoir bénéficier d'une libération conditionnelle qui pourrait lui être accordée dans 20 mois et se livre à des spéculations sur des allégements de peine. Il en déduit que la peine n'est pas suffisamment grave pour motiver un risque de fuite Ce grief doit être d'emblée rejeté. En effet, même si l'intéressé conteste la durée de la peine prononcée en deuxième instance, toutes références à la possibilité d'une libération conditionnelle ou à de potentiels allégements de peine qui pourraient lui être octroyés en raison de son permis C sont prématurées. En effet, selon une jurisprudence constante, la possibilité d'une libération conditionnelle ou toute autre question relative à l'exécution ultérieure de la peine n'ont en principe pas à être prises en compte pour juger de la proportionnalité de la détention provisoire ou pour des motifs de sûreté. On ne saurait en effet exiger du juge de la détention qu'il suppute le résultat de l'appréciation qui incombera, le cas échéant, à l'autorité compétente pour décider de l'exécution de la peine ou de la libération conditionnelle, dont l'octroi dépend aussi du bon comportement en détention et du pronostic qui peut être posé quant au comportement futur du condamné en liberté ( art. 86 al. 1 CP ). Il n'y a d'exception à cette règle que si une appréciation des circonstances concrètes permet d'aboutir d'emblée à la conclusion que les conditions de la libération conditionnelle sont réalisées; tel est le cas en particulier lorsque la détention est prolongée durant la procédure cantonale de recours contre un jugement de condamnation, alors qu'elle dépasse déjà les deux tiers de la peine privative de liberté prononcée (arrêt 1B_94/2009 du 8 mai 2009 consid. 5.2 et la jurisprudence citée; cf. ATF 133 I 270 consid. 3.4.2 p. 281 s.), ce qui n'est pas le cas en l'espèce.</w:t>
      </w:r>
    </w:p>
    <w:p>
      <w:r>
        <w:rPr>
          <w:b/>
        </w:rPr>
        <w:t>E. 4.5</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 (let. a) et la saisie des documents d'identité (let. b). Pour surveiller l'exécution de ces mesures, le tribunal peut ordonner l'utilisation d'appareils techniques qui peuvent être fixés à la personne sous surveillance ( art. 237 al. 3 CPP ). En l'espèce, les mesures de substitution susceptibles de pallier les risques de fuite, notamment l'assignation à résidence, apparaissent clairement insuffisantes au regard de l'intensité desdits risques. Par ailleurs, il y a lieu de relever que la surveillance électronique préconisée par le recourant ne constitue pas en soi une mesure de substitution, mais uniquement un moyen de contrôler l'exécution d'une telle mesure, en particulier une assignation à résidence (cf. arrêt 1B_447/2011 du 21 septembre 2011 consid. 3.4). S'il apparaît, comme en l'espèce, que cette dernière mesure n'est pas apte à prévenir le risque de fuite, la surveillance électronique, dépourvue en soi d'effet préventif, ne saurait être mise en oeuvre.</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Jean-Pierre Garbade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