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1B_622/2022 vom 23. Dezember 2022</w:t>
      </w:r>
    </w:p>
    <w:p>
      <w:r>
        <w:t>Bundesgericht, 2022-12-23, FR</w:t>
      </w:r>
    </w:p>
    <w:p>
      <w:r>
        <w:rPr>
          <w:b/>
        </w:rPr>
        <w:t xml:space="preserve">Quelle: </w:t>
      </w:r>
      <w:r>
        <w:t>https://mcp.opencaselaw.ch/entscheid/bger_1B_622_2022</w:t>
      </w:r>
    </w:p>
    <w:p>
      <w:r>
        <w:t>FR: TF 1B_622/2022 du 23 décembre 2022</w:t>
      </w:r>
    </w:p>
    <w:p>
      <w:r>
        <w:t>IT: TF 1B_622/2022 del 23 dicembre 2022</w:t>
      </w:r>
    </w:p>
    <w:p>
      <w:pPr>
        <w:pStyle w:val="Heading2"/>
      </w:pPr>
      <w:r>
        <w:t>Erwägungen</w:t>
      </w:r>
    </w:p>
    <w:p>
      <w:r>
        <w:rPr>
          <w:b/>
        </w:rPr>
        <w:t>E. 1</w:t>
      </w:r>
    </w:p>
    <w:p>
      <w:r>
        <w:t>Le recours en matière pénale ( art. 78 al. 1 LTF ) est ouvert contre une décision relative à la détention provisoire au sens des art. 212 ss CPP . Selon l'art. 81 al. 1 let. a et b ch. 1 LTF, le recourant, prévenu détenu, a qualité pour recourir. Le recours a été formé en temps utile ( art. 100 al. 1 LTF ) contre une décision prise en dernière instance cantonale ( art. 80 LTF ) et les conclusions présentées sont recevables au regard de l' art. 107 al. 2 LTF . Il y a donc lieu d'entrer en matière.</w:t>
      </w:r>
    </w:p>
    <w:p>
      <w:r>
        <w:rPr>
          <w:b/>
        </w:rPr>
        <w:t>E. 2</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les besoins de l'instruction, un risque de fuite ou un danger de collusion ou de réitération (cf. art. 221 al. 1 let. a, b et c CPP). Préalablement à ces conditions, il doit exister des charges suffisantes, soit de sérieux soupçons de culpabilité, à l'égard de l'intéressé ( art. 221 al. 1 CPP ; art. 5 par. 1 let . c CEDH).</w:t>
      </w:r>
    </w:p>
    <w:p>
      <w:r>
        <w:rPr>
          <w:b/>
        </w:rPr>
        <w:t>E. 3</w:t>
      </w:r>
    </w:p>
    <w:p>
      <w:r>
        <w:t>Le recourant ne conteste plus l'existence de charges suffisantes à son encontre. Il nie en revanche le risque de récidive et affirme en outre que des mesures de substitution permettraient le cas échéant de réduire ce risque.</w:t>
      </w:r>
    </w:p>
    <w:p>
      <w:r>
        <w:rPr>
          <w:b/>
        </w:rPr>
        <w:t>E. 3.1</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146 IV 326 consid. 3.1).</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récidive peut également se fonder sur les infractions faisant l'objet de la procédure pénale en cours, si le prévenu est fortement soupçonné - avec une probabilité confinant à la certitude - de les avoir commises ( ATF 146 IV 326 consid. 3.1).</w:t>
      </w:r>
    </w:p>
    <w:p>
      <w:r>
        <w:t>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Dans ce contexte, il faut se montrer plus sévère à l'égard des infractions commises contre des personnes nécessitant une protection particulière, en particulier les enfants ( ATF 146 IV 326 consid. 3.1; 143 IV 9 consid. 2.6 et 2.7).</w:t>
      </w:r>
    </w:p>
    <w:p>
      <w:r>
        <w:t>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consid. 3.1).</w:t>
      </w:r>
    </w:p>
    <w:p>
      <w:r>
        <w:t>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146 IV 326 consid. 3.1).</w:t>
      </w:r>
    </w:p>
    <w:p>
      <w:r>
        <w:rPr>
          <w:b/>
        </w:rPr>
        <w:t>E. 3.2</w:t>
      </w:r>
    </w:p>
    <w:p>
      <w:r>
        <w:t>Conformément au principe de la proportionnalité ( art. 36 al. 3 Cst. ), il convient d'examiner les possibilités de mettre en oeuvre d'autres solutions moins dommageables que la détention. Cette exigence est concrétisée par les art. 197 al. 1 let . c et 237 al. 1 CPP. Cette dernière disposition prévoit que le tribunal compétent ordonne une ou plusieurs mesures moins sévères en lieu et place de la détention si ces mesures permettent d'atteindre le même but que la détention.</w:t>
      </w:r>
    </w:p>
    <w:p>
      <w:r>
        <w:rPr>
          <w:b/>
        </w:rPr>
        <w:t>E. 3.3</w:t>
      </w:r>
    </w:p>
    <w:p>
      <w:r>
        <w:t>Le recourant est poursuivi pour tentative de meurtre. Les faits qui lui sont reprochés sont particulièrement graves, puisqu'ils touchent à la vie et à l'intégrité physique; comme déjà été indiqué au recourant dans l'arrêt du 4 janvier 2022 de la cour de céans (cf. arrêt 1B_668/2021 consid. 4.2), les faits en question peuvent, conformément à la jurisprudence mentionnée ci-dessus (cf. consid. 3.1), être pris en considération dans l'examen du risque de récidive. Le recourant relativise par ailleurs à tort sa précédente condamnation pour vol ( art. 139 ch. 4 CP ); l'octroi du sursis dont il a bénéficié ne l'a en particulier pas dissuadé de commettre à bref délai une autre infraction cette fois d'extrême gravité, seulement 7 mois après cette condamnation pour vol. De plus, le risque de récidive apparaît confirmé par l'expertise psychiatrique du 5 septembre 2022. Les experts ont notamment retenu que le recourant présentait un grave trouble psychique, actuellement décompensé, impliquant un fort sentiment de persécution et une perte partielle de l'ancrage dans la réalité, qu'il était anosognostique de ses troubles psychiques, qu'il ne bénéficiait d'aucun suivi ou traitement médicamenteux et qu'il présentait un risque élevé de récidive d'actes de même nature. Le recourant n'invoque en l'occurrence aucun élément qui justifierait de s'écarter des conclusions des experts concernant le risque de récidive.</w:t>
      </w:r>
    </w:p>
    <w:p>
      <w:r>
        <w:t>Compte tenu de ces éléments, et en particulier de l'expertise psychiatrique, le Tribunal cantonal pouvait conclure à l'existence d'un risque élevé de récidive. Le simple fait pour le recourant d'affirmer avoir adopté un excellent comportement en détention provisoire n'est clairement pas suffisant pour conduire à sa libération. Par ailleurs, quoi qu'en pense le recourant, le Tribunal cantonal pouvait renoncer à examiner les risques de collusion et de fuite, dès lors que la détention provisoire était justifiée par le danger de récidive.</w:t>
      </w:r>
    </w:p>
    <w:p>
      <w:r>
        <w:rPr>
          <w:b/>
        </w:rPr>
        <w:t>E. 3.4</w:t>
      </w:r>
    </w:p>
    <w:p>
      <w:r>
        <w:t>Enfin, au regard des considérations précédentes, et du rapport d'expertise psychiatrique du 5 septembre 2022, les mesures de substitution proposées par le recourant, sous la forme d'une obligation de s'abstenir de tout contact avec la victime, assortie de l'obligation de se rendre hebdomadairement au poste de police, ne sont manifestement pas suffisante pour pallier le risque de récidive. Le Tribunal cantonal a à juste titre retenu que, dans la mesure où le recourant souffrait d'un grave trouble psychique, qu'il était anosognosique et que ce trouble psychique était en lien avec un risque élevé de récidive d'actes de même nature, il n'était pas envisageable de le mettre au bénéfice des mesures de substitution proposées qui laisseraient subsister ce risque. Le recourant prétend à cet égard à tort que la cour cantonale n'aurait pas suffisamment examiné la question des mesures de substitution.</w:t>
      </w:r>
    </w:p>
    <w:p>
      <w:r>
        <w:t>Dans ces conditions, on ne voit pas quelles mesures de substitution ( art. 237 CPP ) permettraient de réduire ce danger de réitération d'une manière suffisante dès lors que le recourant n'a pas pris conscience de ses troubles psychiques et qu'il ne bénéficie d'aucun suivi ou traitement. Ce grief doit donc également être rejeté.</w:t>
      </w:r>
    </w:p>
    <w:p>
      <w:r>
        <w:rPr>
          <w:b/>
        </w:rPr>
        <w:t>E. 3.5</w:t>
      </w:r>
    </w:p>
    <w:p>
      <w:r>
        <w:t>C'est donc à juste titre que la Chambre des recours pénale a confirmé la décision du Tmc de prolongation de la détention provisoire du recourant.</w:t>
      </w:r>
    </w:p>
    <w:p>
      <w:r>
        <w:rPr>
          <w:b/>
        </w:rPr>
        <w:t>E. 4</w:t>
      </w:r>
    </w:p>
    <w:p>
      <w:r>
        <w:t>Le recours doit par conséquent être rejeté.</w:t>
      </w:r>
    </w:p>
    <w:p>
      <w:r>
        <w:t>Le recours étant dénué de chances de succès, la demande d'assistance judiciaire doit également être rejetée ( art. 64 al. 1 LTF ). Toutefois, pour tenir compte de la situation financière du recourant, il peut être renoncé à la perception de frais judiciaires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