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61/2020 vom 24. Februar 2020</w:t>
      </w:r>
    </w:p>
    <w:p>
      <w:r>
        <w:t>Bundesgericht, 2020-02-24, FR</w:t>
      </w:r>
    </w:p>
    <w:p>
      <w:r>
        <w:rPr>
          <w:b/>
        </w:rPr>
        <w:t xml:space="preserve">Quelle: </w:t>
      </w:r>
      <w:r>
        <w:t>https://mcp.opencaselaw.ch/entscheid/bger_1B_61_2020</w:t>
      </w:r>
    </w:p>
    <w:p>
      <w:r>
        <w:t>FR: TF 1B 61/2020 du 24 février 2020</w:t>
      </w:r>
    </w:p>
    <w:p>
      <w:r>
        <w:t>IT: TF 1B 61/2020 del 24 febbraio 2020</w:t>
      </w:r>
    </w:p>
    <w:p>
      <w:pPr>
        <w:pStyle w:val="Heading2"/>
      </w:pPr>
      <w:r>
        <w:t>Regeste</w:t>
      </w:r>
    </w:p>
    <w:p>
      <w:r>
        <w:t>Détention provisoire | Procédure pénale</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Selon l'art. 81 al. 1 let. a et b ch. 1 LTF, la recourante, prévenue actuellement détenue, a qualité pour recourir. Le recours a été formé en temps utile contre une décision rendue par une autorité statuant en tant que dernière instance cantonale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La recourante ne nie pas l'existence de charges suffisantes à son encontre. Elle renonce en outre à contester les risques de fuite, de collusion et de récidive retenus par l'instance précédente. En revanche, elle se plaint d'une violation de l' art. 237 CPP , en tant que l'instance précédente n'aurait pas ordonné sa libération moyennant le prononcé des mesures de substitution qu'elle proposait.</w:t>
      </w:r>
    </w:p>
    <w:p>
      <w:r>
        <w:rPr>
          <w:b/>
        </w:rPr>
        <w:t>E. 3.1</w:t>
      </w:r>
    </w:p>
    <w:p>
      <w:r>
        <w:t>Le principe de proportionnalité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 S'agissant du port d'un bracelet électronique, cette mesure ne permet généralement qu'un contrôle rétroactif, n'ayant ainsi qu'un effet préventif (arrêts 1B_362/2019 du 17 septembre 2019 consid. 3.3.1 destiné à la publication; 1B_344/2017 du 20 septembre 2017 consid. 5.2 [risque de fuite]). Dans le contexte d'une assignation à résidence, ce type de surveillance permet notamment de s'assurer que la personne sous surveillance est bien à l'emplacement prescrit aux heures prévues (arrêt 1B_142/2018 du 5 avril 2018 consid. 2.1 [danger de réitération]). En tout état de cause, son adéquation doit être évaluée en fonction de toutes les circonstances d'espèce, en particulier l'intensité du risque en cause, la gravité des infractions examinées, la nécessité de garantir la présence des parties dans la procédure et la durée de la détention provisoire et pour des motifs de sûreté (arrêts 1B_362/2019 du 17 septembre 2019 consid. 3.3.2 destiné à la publication).</w:t>
      </w:r>
    </w:p>
    <w:p>
      <w:r>
        <w:rPr>
          <w:b/>
        </w:rPr>
        <w:t>E. 3.2</w:t>
      </w:r>
    </w:p>
    <w:p>
      <w:r>
        <w:t>Dans l'arrêt entrepris, l'instance précédente a retenu l'existence d'un risque concret de fuite, compte tenu notamment de la gravité des faits reprochés à la recourante, de sa nationalité espagnole, du fait qu'elle n'était en Suisse que depuis 2017 (au bénéfice d'un permis B), qu'elle ne travaillait plus depuis juin 2019, qu'elle s'était séparée de son mari, qu'elle ne se serait pas encore inscrite officiellement au domicile de son compagnon à Yverdon-les-Bains et enfin qu'elle rendait régulièrement visite à sa famille en Espagne. S'agissant du risque de collusion, elle a relevé qu'il n'était pas exclu que la recourante soit plus impliquée dans le trafic que ce qu'elle prétendait, au vu notamment de la quantité de cocaïne en sa possession; l'enquête n'en était qu'à ses débuts. Enfin, la Chambre des recours pénale a également retenu l'existence d'un risque de réitération, soulignant que la recourante avait récidivé nonobstant sa grossesse et une précédente condamnation en Suisse en 2015. Elle a enfin examiné les mesures de substitution proposées par la recourante et a considéré qu'elles ne permettaient pas de prévenir efficacement les risques précités.</w:t>
      </w:r>
    </w:p>
    <w:p>
      <w:r>
        <w:rPr>
          <w:b/>
        </w:rPr>
        <w:t>E. 3.3</w:t>
      </w:r>
    </w:p>
    <w:p>
      <w:r>
        <w:t>A l'appui de son grief tiré d'une violation de l' art. 237 CPP , la recourante soutient que l'ensemble des mesures de substitution proposées permettrait de pallier efficacement les risques de fuite, de collusion et de récidive constatés par l'instance précédente - qu'elle ne conteste au demeurant pas - (dépôt de ses papiers d'identité; assignation à résidence, soit au domicile de son compagnon et père de l'enfant à naître avec lequel elle vivait à Yverdon; obligation de se présenter régulièrement auprès d'une autorité administrative; surveillance électronique; interdiction d'avoir des contacts avec tout tiers autre que son compagnon et sa famille). La recourante se prévaut essentiellement de sa grossesse - dont le terme doit intervenir prochainement - et de la présence du père de son enfant en Suisse; sur ce point, elle précise avoir menti en déclarant ne pas connaître le père lors de sa première audition. Elle se réfère enfin brièvement au rapport "Santé des femmes en milieu carcéral" établi par l'Organisation mondiale de la santé (OMS) en 2009, ainsi qu'à la règle n° 64 des "Règles des Nations Unies concernant le traitement des détenues et l'imposition de mesures non privatives de liberté aux délinquantes" (Règles de Bangkok) de 2010 selon laquelle les peines non privatives de liberté doivent être privilégiées, lorsque cela est possible et indiqué, pour les femmes enceintes, des peines privatives de liberté étant envisagées en cas d'infraction grave ou violente ou lorsque la femme représente encore un danger. Ces arguments ne permettent cependant pas de remettre en cause l'appréciation de l'instance précédente. En effet, les mesures de substitution proposées par la recourante apparaissent insuffisantes au regard notamment des risques de fuite et de collusion retenus par la Chambre des recours pénale. Le dépôt des papiers d'identité n'est pas propre à empêcher cette dernière de passer la frontière, au vu du peu de difficulté à quitter la Suisse sans papier pour rejoindre l'Espagne (cf. arrêts 1B_28/2019 du 8 février 2019 consid. 2.3; 1B_508/2018 du 4 décembre 2018 consid. 3.2.2 et les arrêts cités). L'assignation à résidence assortie d'une surveillance électronique, ainsi que l'obligation de se présenter à un service administratif, ne permettent pas en l'espèce de prévenir la fuite de la recourante, mais uniquement de la constater a posteriori (cf. arrêt 1B_362/2019 du 17 septembre 2019 destiné à la publication, consid. 3.3). En outre, une interdiction de contacter tout tiers autre que son compagnon et sa famille est impossible à contrôler et est manifestement insuffisante au regard de l'intensité du risque de collusion constaté; ce risque apparaît en effet particulièrement important et concret à ce stade initial de l'instruction dès lors que, comme relevé par l'instance précédente, les données extraites du téléphone portable de la recourante doivent encore être analysées et que les personnes impliquées dans le trafic en cause n'ont pas toutes été identifiées et localisées. Vu l'intensité des risques de fuite et de collusion présentés par la recourante, sa grossesse ainsi que la présence en Suisse du père de son enfant à naître ne permettent pas de modifier cette appréciation. A l'instar de la Chambre des recours pénale, il y a lieu en particulier de relever que les établissements pénitentiaires sont en mesure d'apporter des réponses adéquates aux besoins médicaux spécifiques induits par la grossesse de la recourante, ce que celle-ci ne conteste au demeurant pas. Le rapport de l'OMS ainsi que la règle de Bangkok dont l'intéressée se prévaut ne lui sont en l'occurrence d'aucun secours; outre le fait que les règles de Bangkok ne sont en soi pas juridiquement contraignantes pour la Suisse, la règle n° 64 invoquée par la recourante s'adresse avant tout au juge du fond. Enfin, on ne voit pas quelle autre mesure de substitution serait en l'état propre à pallier efficacement les risques de fuite et de collusion présentés par la recourante. La Chambre de recours pénale pouvait ainsi, sans violer le droit fédéral, confirmer le placement de la recourante en détention provisoire.</w:t>
      </w:r>
    </w:p>
    <w:p>
      <w:r>
        <w:rPr>
          <w:b/>
        </w:rPr>
        <w:t>E. 3.4</w:t>
      </w:r>
    </w:p>
    <w:p>
      <w:r>
        <w:t>Enfin, dans son écriture, la recourante invoque également une violation de l' art. 6 CEDH . La recevabilité d'un tel grief suppose l'articulation d'une critique circonstanciée, claire et précise, répondant aux exigences de motivation prévues par l' art. 106 al. 2 LTF (cf. ATF 142 III 364 consid. 2.4 p. 368). Tel n'est manifestement pas le cas en l'espèce, dès lors que le recours ne contient même pas un exposé succinct de cette disposition, ni ne précise en quoi consiste la violation. Son grief est donc irrecevable.</w:t>
      </w:r>
    </w:p>
    <w:p>
      <w:r>
        <w:rPr>
          <w:b/>
        </w:rPr>
        <w:t>E. 4</w:t>
      </w:r>
    </w:p>
    <w:p>
      <w:r>
        <w:t>Le recours doit par conséquent être rejeté, dans la mesure où il est recevable. Les conditions posées à l' art. 64 al. 1 LTF étant réunies, il convient de mettre la recourante au bénéfice de l'assistance judiciaire, de lui désigner Me Fabien Mingard comme avocat d'office et d'allouer à celui-ci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