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619/2021 vom 2. September 2022</w:t>
      </w:r>
    </w:p>
    <w:p>
      <w:r>
        <w:t>Bundesgericht, 2022-09-02, DE</w:t>
      </w:r>
    </w:p>
    <w:p>
      <w:r>
        <w:rPr>
          <w:b/>
        </w:rPr>
        <w:t xml:space="preserve">Quelle: </w:t>
      </w:r>
      <w:r>
        <w:t>https://mcp.opencaselaw.ch/entscheid/bger_1B_619_2021</w:t>
      </w:r>
    </w:p>
    <w:p>
      <w:r>
        <w:t>FR: TF 1B 619/2021 du 2 septembre 2022</w:t>
      </w:r>
    </w:p>
    <w:p>
      <w:r>
        <w:t>IT: TF 1B 619/2021 del 2 settembre 2022</w:t>
      </w:r>
    </w:p>
    <w:p>
      <w:pPr>
        <w:pStyle w:val="Heading2"/>
      </w:pPr>
      <w:r>
        <w:t>Regeste</w:t>
      </w:r>
    </w:p>
    <w:p>
      <w:r>
        <w:t>Strafverfahren; Gutachten | Strafprozess</w:t>
      </w:r>
    </w:p>
    <w:p>
      <w:pPr>
        <w:pStyle w:val="Heading2"/>
      </w:pPr>
      <w:r>
        <w:t>Erwägungen</w:t>
      </w:r>
    </w:p>
    <w:p>
      <w:r>
        <w:rPr>
          <w:b/>
        </w:rPr>
        <w:t>E. 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(Urteil 1B_121/2022 vom 7. Juni 2022 E. 2 mit Hinweisen).</w:t>
      </w:r>
    </w:p>
    <w:p>
      <w:r>
        <w:rPr>
          <w:b/>
        </w:rPr>
        <w:t>E. 2</w:t>
      </w:r>
    </w:p>
    <w:p>
      <w:r>
        <w:t>Der vorinstanzliche Entscheid ist einzig insoweit angefochten, als die von den Beschwerdeführern gewünschten Zusatzfragen an den Gutachter streitig waren. Mit der Erstellung des Gutachtens und der nachträglichen Zulassung dieser Fragen als Ergänzungsfragen ist das Rechtsschutzinteresse der Beschwerdeführer, wie letztere selbst vorbringen, dahingefallen und das bundesgerichtliche Beschwerdeverfahren somit gegenstandslos geworden. Fragen von grundsätzlicher Bedeutung, die sich jederzeit unter gleichen oder ähnlichen Umständen wieder stellen könnten, ohne dass im Einzelfall rechtzeitig eine höchstrichterliche Prüfung stattfinden könnte (vgl. BGE 140 IV 74 E. 1.3.3.), stellen sich vorliegend nicht. Demzufolge ist das Verfahren vom Instruktionsrichter als Einzelrichter ( Art. 32 Abs. 2 BGG ) als gegenstandslos abzuschreiben ( Art. 71 BGG i.V.m. Art. 72 BZP ).</w:t>
      </w:r>
    </w:p>
    <w:p>
      <w:r>
        <w:rPr>
          <w:b/>
        </w:rPr>
        <w:t>E. 3</w:t>
      </w:r>
    </w:p>
    <w:p>
      <w:r>
        <w:t>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1B_67/2022 vom 23. Mai 2022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1B_121/2022 vom 7. Juni 2022 E. 2; 1B_67/2022 vom 23. Mai 2022 E. 4; je mit Hinweisen).</w:t>
      </w:r>
    </w:p>
    <w:p>
      <w:r>
        <w:rPr>
          <w:b/>
        </w:rPr>
        <w:t>E. 3.1</w:t>
      </w:r>
    </w:p>
    <w:p>
      <w:r>
        <w:t>Nach der hiervor zitierten Rechtsprechung ist für die Regelung der Kosten- und Entschädigungsfolgen nur dann auf den mutmasslichen Ausgang des Verfahrens abzustellen, wenn sich dieser ohne Weiteres feststellen lässt. Dies ist vorliegend nicht der Fall: Sowohl die Fragen nach der prozessualen Zulässigkeit (vgl. Art. 81 Abs. 1 lit. 5 und Art. 93 Abs. 1 lit. a BGG ) als auch der materiellen Begründetheit der über 40-Seitigen Beschwerde, mit welcher in erster Linie die Verletzung von Konventionsrecht gerügt wird (insb. Art. 2, Art. 6 und Art. 13 EMRK ), bedürften einer eingehenden bundesgerichtlichen Prüfung und Abwägung.</w:t>
      </w:r>
    </w:p>
    <w:p>
      <w:r>
        <w:rPr>
          <w:b/>
        </w:rPr>
        <w:t>E. 3.2</w:t>
      </w:r>
    </w:p>
    <w:p>
      <w:r>
        <w:t>Für die Bestimmung der Kostenfolgen ist demnach auf das Verursacherprinzip abzustellen. Vorliegend wurde das streitige Gutachten trotz hängiger Beschwerde erstellt. Im Anschluss wurden die Gegenstand des vorliegenden Verfahrens bildenden (zunächst nicht berücksichtigten) Zusatzfragen der Beschwerdeführer gemäss ihrer unbestrittenen gebliebener Darstellung nachträglich von der Staatsanwaltschaft als Ergänzungsfragen zugelassen. Die Staatsanwaltschaft hat somit die Gründe zu verantworten, die zur Gegenstandslosigkeit des Verfahrens geführt haben. Demnach sind ihr als Verursacherin die Verfahrenskosten zu überbinden (vgl. Urteil 1B_67/2022 vom 23. Mai 2022 E. 4.2 mit Hinweis). Die Staatsanwaltschaft handelte in ihrem amtlichen Wirkungskreis, weshalb für das bundesgerichtliche Verfahren keine Gerichtskosten zu erheben sind ( Art. 66 Abs. 4 BGG ). Indessen sind die anwaltlich vertretenen Beschwerdeführer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