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617/2020 vom 17. August 2021</w:t>
      </w:r>
    </w:p>
    <w:p>
      <w:r>
        <w:t>Bundesgericht, 2021-08-17, DE</w:t>
      </w:r>
    </w:p>
    <w:p>
      <w:r>
        <w:rPr>
          <w:b/>
        </w:rPr>
        <w:t xml:space="preserve">Quelle: </w:t>
      </w:r>
      <w:r>
        <w:t>https://mcp.opencaselaw.ch/entscheid/bger_1B_617_2020</w:t>
      </w:r>
    </w:p>
    <w:p>
      <w:r>
        <w:t>FR: TF 1B 617/2020 du 17 août 2021</w:t>
      </w:r>
    </w:p>
    <w:p>
      <w:r>
        <w:t>IT: TF 1B 617/2020 del 17 agosto 2021</w:t>
      </w:r>
    </w:p>
    <w:p>
      <w:pPr>
        <w:pStyle w:val="Heading2"/>
      </w:pPr>
      <w:r>
        <w:t>Regeste</w:t>
      </w:r>
    </w:p>
    <w:p>
      <w:r>
        <w:t>Strafverfahren; Entsiegelung | Strafprozess</w:t>
      </w:r>
    </w:p>
    <w:p>
      <w:pPr>
        <w:pStyle w:val="Heading2"/>
      </w:pPr>
      <w:r>
        <w:t>Erwägungen</w:t>
      </w:r>
    </w:p>
    <w:p>
      <w:r>
        <w:rPr>
          <w:b/>
        </w:rPr>
        <w:t>E. 1</w:t>
      </w:r>
    </w:p>
    <w:p>
      <w:r>
        <w:t>Gemäss Art. 109 BGG entscheiden die Abteilungen in Dreierbesetzung bei Einstimmigkeit über die Abweisung offensichtlich unbegründeter Beschwerden (Abs. 2 lit. a). Der Entscheid wird summarisch begründet (Abs. 3 Satz 1).</w:t>
      </w:r>
    </w:p>
    <w:p>
      <w:r>
        <w:rPr>
          <w:b/>
        </w:rPr>
        <w:t>E. 2</w:t>
      </w:r>
    </w:p>
    <w:p>
      <w:r>
        <w:t>Ob die Eintretensvoraussetzungen erfüllt sind, ist in verschiedener Hinsicht zweifelhaft. Wie es sich damit verhält, braucht jedoch nicht vertieft zu werden. Wäre auf die Beschwerde einzutreten, wäre sie aus folgenden Erwägungen offensichtlich unbegründet.</w:t>
      </w:r>
    </w:p>
    <w:p>
      <w:r>
        <w:rPr>
          <w:b/>
        </w:rPr>
        <w:t>E. 3</w:t>
      </w:r>
    </w:p>
    <w:p>
      <w:r>
        <w:t>Der Beschwerdeführer macht geltend, er sei Privatkläger und damit Partei des Strafverfahrens ( Art. 104 Abs. 1 lit. b StPO ). Als solche hätte ihn die Vorinstanz in das Entsiegelungsverfahren einbeziehen müssen. Indem sie das nicht getan habe, habe sie seinen Anspruch auf rechtliches Gehör nach Art. 107 StPO verletzt. Das Vorbringen ist unbegründet. Das Entsiegelungsverfahren stellt ein akzessorisches Zwischenverfahren dar, welches den Entscheid, ob potenzielle Beweismittel durchsucht und gesichtet werden dürfen oder schutzwürdige Geheimhaltungsinteressen vorgehen, der Strafverfolgungsbehörde entzieht und einem Gericht überträgt (ANDREAS J. KELLER, in: Donatsch und andere [Hrsg.], Kommentar zur Schweizerischen Strafprozessordnung, 3. Aufl. 2020, N. 41 zu Art. 248 StPO ). Nach der Rechtsprechung - die der Beschwerdeführer übergeht - ist der Privatkläger, soweit er nicht als Geheimnisberechtigter unmittelbar betroffen ist, keine Partei des Entsiegelungsverfahrens (Urteil 1B_35/ 2018 vom 30. August 2018 E. 2.2 mit Hinweisen). Der Beschwerdeführer bringt nichts vor, was es rechtfertigen könnte, darauf zurückzukommen. Er ist, was die beiden versiegelten E-Mails betrifft, nicht Geheimnisberechtigter. Die Vorinstanz hat ihn daher zu Recht nicht in das Entsiegelungsverfahren einbezogen.</w:t>
      </w:r>
    </w:p>
    <w:p>
      <w:r>
        <w:rPr>
          <w:b/>
        </w:rPr>
        <w:t>E. 4</w:t>
      </w:r>
    </w:p>
    <w:p>
      <w:r>
        <w:t>Der Entsiegelung stehen die Beschlagnahmeverbote nach Art. 264 Abs. 1 StPO entgegen (KELLER, a.a.O., N. 14 zu Art. 248 StPO ). Danach dürfen insbesondere nicht beschlagnahmt werden, ungeachtet des Ortes, wo sie sich befinden und des Zeitpunkts, in welchem sie geschaffen worden sind, Unterlagen aus dem Verkehr der beschuldigten Person mit ihrer Verteidigung (lit. a). Insoweit gilt ein absolutes Beschlagnahmeverbot (zur amtlichen Publikation bestimmtes Urteil 1B_333/2020 vom 22. Juni 2021 E. 2.5 mit Hinweisen). Art. 264 Abs. 1 lit. a StPO dient dem Schutz des besonderen Vertrauensverhältnisses zwischen der Verteidigung und der beschuldigten Person. Schutz geniesst alles, was in dieses Verhältnis eingebracht wird, in ihm entsteht oder aus ihm hervorgeht (Urteil 1B_198/2018 vom 11. Juli 2018 E. 2.5 mit Hinweis). Geschützt sind somit zum einen Dokumente, welche sich bildlich gesprochen zwischen den Deckeln des Dossiers der Verteidigung befinden und im Zusammenhang mit dem Mandat der Verteidigung stehen, also etwa Korrespondenz zwischen der Verteidigung und der beschuldigten Person oder Dritten, oder Dokumente, welche der Verteidigung im Zusammenhang mit dem Mandat übergeben wurden oder die sie eingeholt hat. Zum andern sind auch jene Dokumente bei der beschuldigten Person erfasst, welche diese von ihrer Verteidigung erhalten hat. Die Form der Unterlagen ist bedeutungslos. Sie können körperlich oder bloss in elektronischer Form bestehen (BOMMER/GOLDSCHMID, in: Basler Kommentar, Schweizerische Strafprozessordnung, 2. Aufl. 2014, N. 30 f. zu Art. 264 StPO ). Erfasst sind somit namentlich E-Mails und deren Anhänge (Urteil 1B_198/2018 vom 11. Juli 2018 E. 2.5). Aufgrund des Passus "ungeachtet des Ortes, wo sie sich befinden, und des Zeitpunktes, in welchem sie geschaffen worden sind", gilt der Schutz von Art. 264 Abs. 1 lit. a StPO nicht nur in örtlicher, sondern auch in zeitlicher Hinsicht unbeschränkt. Geschützt sind somit auch die Unterlagen, die vor der Eröffnung einer Strafuntersuchung erstellt bzw. kommuniziert wurden (STEFAN HEIMGARTNER, in: Donatsch und andere [Hrsg.], Kommentar zur Schweizerischen Strafprozessordnung, 3. Aufl. 2020, N. 2 zu Art. 264 StPO ). Bei den beiden hier versiegelten Unterlagen geht es einerseits um ein E-Mail, das der Beschwerdegegner 2 als Rechtsanwalt der Beschwerdegegnerin 1 dieser zukommen liess; anderseits um ein E-Mail eines Rechtsprofessors mitsamt Kurzgutachten an den Beschwerdegegner 2. Auch dieses letztere E-Mail betraf das vom Beschwerdegegner 2 betreute Mandat der Beschwerdegegnerin 1. Die beiden E-Mail unterliegen dem Anwaltsgeheimnis. Wenn die Vorinstanz die Entsiegelung abgelehnt hat, verletzt das daher kein Bundesrecht. Am Ergebnis änderte sich im Übrigen nichts, wenn - wie der Beschwerdeführer geltend macht - Art. 264 Abs. 1 lit. c und d StPO anwendbar wären. Da der Beschwerdegegner 2 im vorliegenden Sachzusammenhang nicht selber beschuldigt ist, bestünde ein Beschlagnahmeverbot auch nach diesen Bestimmungen.</w:t>
      </w:r>
    </w:p>
    <w:p>
      <w:r>
        <w:rPr>
          <w:b/>
        </w:rPr>
        <w:t>E. 5</w:t>
      </w:r>
    </w:p>
    <w:p>
      <w:r>
        <w:t>Die Beschwerde ist deshalb abzuweisen, soweit darauf überhaupt eingetreten werden kann. Bei diesem Ausgang des Verfahrens trägt der Beschwerdeführer die Gerichtskosten ( Art. 66 Abs. 1 Satz 1 BGG ). Er hat den Beschwerdegegnern eine Parteientschädigung zu bezahlen (Art. 68 Abs. 1 f. BGG). Da die Beschwerdegegnerin 1 eine eingehendere Vernehmlassung eingereicht hat als die Beschwerdegegner 2 und 3 und damit einen grösseren Aufwand hatte, wird ihr eine höhere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