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1B_617/2019 vom 23. Januar 2020</w:t>
      </w:r>
    </w:p>
    <w:p>
      <w:r>
        <w:t>Bundesgericht, 2020-01-23, DE</w:t>
      </w:r>
    </w:p>
    <w:p>
      <w:r>
        <w:rPr>
          <w:b/>
        </w:rPr>
        <w:t xml:space="preserve">Quelle: </w:t>
      </w:r>
      <w:r>
        <w:t>https://mcp.opencaselaw.ch/entscheid/bger_1B_617_2019</w:t>
      </w:r>
    </w:p>
    <w:p>
      <w:r>
        <w:t>FR: TF 1B_617/2019 du 23 janvier 2020</w:t>
      </w:r>
    </w:p>
    <w:p>
      <w:r>
        <w:t>IT: TF 1B_617/2019 del 23 gennaio 2020</w:t>
      </w:r>
    </w:p>
    <w:p>
      <w:pPr>
        <w:pStyle w:val="Heading2"/>
      </w:pPr>
      <w:r>
        <w:t>Erwägungen</w:t>
      </w:r>
    </w:p>
    <w:p>
      <w:r>
        <w:rPr>
          <w:b/>
        </w:rPr>
        <w:t>E. 1</w:t>
      </w:r>
    </w:p>
    <w:p>
      <w:r>
        <w:t>Angefochten ist ein kantonal letztinstanzlicher Haftentscheid. Dagegen ist die Beschwerde in Strafsachen nach den Art. 78 ff. BGG gegeben. Die Beschwerdeführerin ist durch die Verweigerung der Haftentlassung in ihren rechtlich geschützten Interessen betroffen und damit zur Beschwerde befugt ( Art. 81 Abs. 1 BGG ). Sie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kann unter anderem angeordnet werden, wenn ein dringender Tatverdacht in Bezug auf ein Verbrechen oder Vergehen sowie Flucht-, Kollusions- oder Wiederholungsgefahr besteht ( Art. 221 Abs. 1 StPO ). Nach der Auffassung des Obergerichts im angefochtenen Entscheid ist nebst dem allgemeinen Haftgrund des dringenden Tatverdachts Wiederholungsgefahr gegeben.</w:t>
      </w:r>
    </w:p>
    <w:p>
      <w:r>
        <w:rPr>
          <w:b/>
        </w:rPr>
        <w:t>E. 2.1</w:t>
      </w:r>
    </w:p>
    <w:p>
      <w:r>
        <w:t>Die Beschwerdeführerin bestreitet nicht, am 18. November 2019 zwei E-Mails an zwei Mitarbeiterinnen der Kindes- und Erwachsenenschutzbehörde der Stadt Zürich (im Folgenden: KESB) versandt zu haben mit der expliziten Drohung, dass das Verhalten von B.________ "direkt zu einem Amoklauf" herausfordere und dass diese "bei der nächsten Wiederholung ihrer Lügen ermordet werde". Ebensowenig bestreitet sie, tags darauf an die Staatsanwältin C.________ und zwei weitere Personen ein E-Mail gesandt zu haben, in dem sie u.a. ausführte, die "einzig richtige Endlösung für uns alle ist die Ermordung von Euch Nazi Stasi Arschlöchern". Im Antrag auf Anordnung von Untersuchungshaft der Staatsanwaltschaft vom 21. November 2019 sind zudem verschiedene weitere, vom E-Mailaccount der Beschwerdeführerin versendete, gleichgelagerte und im gleichen Stil formulierte Schreiben an Polizeibeamte, den städtischen Ombudsmann, den Statthalter etc. aufgeführt, in denen für den Fall, dass die Adressaten den Forderungen der Schreiberin nicht entsprechen sollten, die Tötung von Menschen angedroht wird. Die Beschwerdeführerin ist dringend verdächtig, diese E-Mails verfasst zu haben, was sie im Übrigen auch nicht substantiiert bestreitet.</w:t>
      </w:r>
    </w:p>
    <w:p>
      <w:r>
        <w:t>In diesen Schreiben wird den Adressaten für den Fall, dass sie bestimmte Amtshandlungen nicht vornehmen oder nicht unterlassen, mit schwerwiegenden Konsequenzen gedroht. Sie könnten somit den Tatbestand der Gewalt und Drohung gegen Behörden und Beamte erfüllen ( Art. 285 Ziff. 1 Abs. 1 StGB ). Dieses Delikt wird mit Freiheitsstrafe bis zu drei Jahren oder Geldstrafe geahndet, es handelt sich mithin um ein Vergehen (i.V.m. Art. 10 Abs. 3 StGB ). Es liegt damit ein dringender Tatverdacht vor, der die Anordnung von Untersuchungshaft grundsätzlich rechtfertigen kann.</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w:t>
      </w:r>
    </w:p>
    <w:p>
      <w:r>
        <w:t>Nach dem Grundsatzentscheid BGE 143 IV 9 setzt die Annahme von Wiederholungsgefahr Verbrechen oder schwere Vergehen als Vortaten voraus; es müssen Verbrechen oder schwere Vergehen drohen, welche die Sicherheit anderer erheblich gefährden und die Tatwiederholung muss ernsthaft zu befürchten sein (E. 2.5). Drohungen können sowohl das Vortatenerfordernis erfüllen als auch die Anordnung von Präventivhaft begründen, da sie die Sicherheitslage einer Person erheblich beeinträchtigen können (E. 2.7). Massgebliche Kriterien bei der Beurteilung der Rückfallgefahr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(E. 2.8 mit Hinweisen).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eine sehr ungünstige Rückfallprognose zu verlangen, setzte potenzielle Opfer einer nicht verantwortbaren Gefahr aus. Zugleich ist daran festzuhalten, dass der Haftgrund der Wiederholungsgefahr restriktiv zu handhaben ist. Hieraus folgt, dass eine negative, d.h. eine ungünstige Rückfallprognose zur Annahme von Wiederholungsgefahr unabdingbar ist (E. 2.9).</w:t>
      </w:r>
    </w:p>
    <w:p>
      <w:r>
        <w:rPr>
          <w:b/>
        </w:rPr>
        <w:t>E. 2.2.1</w:t>
      </w:r>
    </w:p>
    <w:p>
      <w:r>
        <w:t>Die Beschwerdeführerin wurde am 8. Februar 2017 wegen Gewalt und Drohung gegen Behörden und Beamte zu einer Geldstrafe von 120 Tagessätzen verurteilt. Sie ist damit einschlägig vorbestraft. Im jetzigen Verfahren wird ihr vorgeworfen, immer wieder Behörden und Beamte, die ihren Forderungen und Anliegen nicht entsprechen und von denen sie sich nicht ernst genommen oder ungerecht behandelt fühlt, bedroht zu haben, um sie zum gewünschten Verhalten zu bewegen. Diese Todesdrohungen gegenüber den Adressaten und beliebigen anderen Menschen waren massiv und in einer Zeit, in der es immer wieder zu Amoktaten kommt, geeignet, die Bedrohten unter Druck zu setzen. Die Drohungen stellen daher massive Eingriffe in die psychische Integrität der Opfer dar. Eine hohe Rückfallgefahr in Bezug auf derartige Delikte rechtfertigt daher die Annahme von Wiederholungsgefahr. Dies hat das Bundesgericht bereits im Urteil 1B_429/ 2013 vom 23. Dezember 2013 festgehalten, mit dem es eine weitgehend gleichgelagerte Haftbeschwerde der Beschwerdeführerin zu beurteilen hatte (E. 2.2).</w:t>
      </w:r>
    </w:p>
    <w:p>
      <w:r>
        <w:rPr>
          <w:b/>
        </w:rPr>
        <w:t>E. 2.2.2</w:t>
      </w:r>
    </w:p>
    <w:p>
      <w:r>
        <w:t>Im angeführten Entscheid lag gemäss vorläufigen Gutachten von Ingo Pude bei der Beschwerdeführerin eine querulatorische Entwicklung bei paranoid-narzisstischer Persönlichkeitsstörung (ICD-10 F 60.0) vor, wobei die festgestellten kognitiven Verzerrungen ein "wahnnahes" Ausmass angenommen hätten. Es stand damit ernsthaft zu befürchten, dass die nicht krankheitseinsichtige Beschwerdeführerin in Freiheit weitere strafrechtliche relevante Drohungen ausstossen würde. Die psychischen Probleme der Beschwerdeführerin bestehen offenkundig weiter, sind doch die Vorwürfe, die ihr im vorliegenden Verfahren gemacht werden, weitgehend die gleichen wie im erwähnten Verfahren. Das Obergericht hat Wiederholungsgefahr zu Recht bejaht.</w:t>
      </w:r>
    </w:p>
    <w:p>
      <w:r>
        <w:rPr>
          <w:b/>
        </w:rPr>
        <w:t>E. 2.2.3</w:t>
      </w:r>
    </w:p>
    <w:p>
      <w:r>
        <w:t>Im Vergleich zum Verfahren im Jahr 2013 verändert hat sich immerhin, dass die Beschwerdeführerin jedenfalls in gewissem Mass krankheitseinsichtig zu sein scheint und sich bereit erklärt, sich freiwillig einer von der PUK angebotenen "Akutbehandlung zu Hause" (Home Treatment) zu unterziehen. Dabei würde zunächst in der PUK ihre Medikation überprüft und festgelegt; anschliessend würde sie nach Hause entlassen, wobei die PUK allfällige psychotherapeutische Kurzzeitinterventionen, pflegerische Betreuung, soziale Beratung und Ergotherapien über 24 Stunden an 7 Tagen pro Woche sicherstellen würde. Dieses Angebot der PUK ist ausschliesslich an Personen gerichtet, die sich dieser Behandlung freiwillig unterziehen. Die Staatsanwaltschaft zweifelt offensichtlich daran, dass sich die Beschwerdeführerin an die von der PUK verschriebene Medikation halten würde und weist darauf hin, dass im Gefängnis das für die Senkung der Wiederholungsgefahr wichtige Medikament Risperdal abgesetzt wurde, wobei unklar ist, ob die Beschwerdeführerin dies eigenmächtig tat. Ohne diese Medikation erscheine die Wiederholungsgefahr sehr hoch und müsse psychiatrisch abgeklärt werden, was bereits in die Wege geleitet worden sei.</w:t>
      </w:r>
    </w:p>
    <w:p>
      <w:r>
        <w:rPr>
          <w:b/>
        </w:rPr>
        <w:t>E. 2.2.4</w:t>
      </w:r>
    </w:p>
    <w:p>
      <w:r>
        <w:t>Auch das Obergericht geht davon aus, dass die Beschwerdeführerin einen gewissen psychotherapeutischen Behandlungsbedarf anerkannt und sich bereit erklärt hat, in die PUK zurückzukehren, damit diese die notwendigen Vorkehren für die dargestellte "Akutbehandlung zu Hause" treffen könne. Psychiatrische Behandlungen haben bei behandlungswilligen Patienten notorisch weit grössere Erfolgsaussichten als Zwangsbehandlungen. Die von der Beschwerdeführerin vorgeschlagene medizinische, soziale und pflegerische Betreuung ist zudem geeignet, die Wiederholungsgefahr auf ein vertretbares Mass zu senken. Es rechtfertigt sich daher unter Verhältnismässigkeitsgesichtspunkten, sie aus der Untersuchungshaft, in der ihre psychischen Probleme wohl kaum angemessen angegangen werden können, zu entlassen. Dies mit der Auflage im Sinne von Art. 237 Abs. 2 lit. f StPO , mit der PUK zu kooperieren, deren Weisungen zu befolgen und insbesondere die verschriebenen Medikamente einzunehmen. Die Beschwerdeführerin ist darauf hinzuweisen, dass das Gericht diese Ersatzmassnahme jederzeit widerrufen, abändern oder Untersuchungshaft anordnen kann, wenn neue Umstände dies erfordern oder sie die ihr gemachten Auflagen nicht erfüllt ( Art. 237 Abs. 5 StPO ). Das mit diesem Vorgehen verbundene Risiko erscheint tragbar, da die Beschwerdeführerin, soweit ersichtlich, bisher nie Anstalten traf, ihre Drohungen in die Realität umzusetzen oder sonstwie gewalttätig wurde.</w:t>
      </w:r>
    </w:p>
    <w:p>
      <w:r>
        <w:rPr>
          <w:b/>
        </w:rPr>
        <w:t>E. 2.3</w:t>
      </w:r>
    </w:p>
    <w:p>
      <w:r>
        <w:t>Die Beschwerde ist somit gutzuheissen und die Beschwerdeführerin aus der Haft zu entlassen. Dem Obergericht und den zuständigen Vollzugsorganen bzw. der PUK ist indessen eine Frist von 10 Arbeitstagen einzuräumen, um die Betreuung der Beschwerdeführerin nach der Haftentlassung zu organisieren und allfällige weitere Ersatzmassnahmen wie Kontaktverbote anzuordnen.</w:t>
      </w:r>
    </w:p>
    <w:p>
      <w:r>
        <w:rPr>
          <w:b/>
        </w:rPr>
        <w:t>E. 3</w:t>
      </w:r>
    </w:p>
    <w:p>
      <w:r>
        <w:t>Bei diesem Ausgang des Verfahrens sind keine Kosten zu erheben ( Art. 66 Abs. 4 BGG ). Auf eine Parteientschädigung hat die Beschwerdeführerin keinen Anspruch, da sie sich im Beschwerdeverfahren nicht vertreten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