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613/2021 vom 16. November 2021</w:t>
      </w:r>
    </w:p>
    <w:p>
      <w:r>
        <w:t>Bundesgericht, 2021-11-16, DE</w:t>
      </w:r>
    </w:p>
    <w:p>
      <w:r>
        <w:rPr>
          <w:b/>
        </w:rPr>
        <w:t xml:space="preserve">Quelle: </w:t>
      </w:r>
      <w:r>
        <w:t>https://mcp.opencaselaw.ch/entscheid/bger_1B_613_2021</w:t>
      </w:r>
    </w:p>
    <w:p>
      <w:r>
        <w:t>FR: TF 1B 613/2021 du 16 novembre 2021</w:t>
      </w:r>
    </w:p>
    <w:p>
      <w:r>
        <w:t>IT: TF 1B 613/2021 del 16 novembre 2021</w:t>
      </w:r>
    </w:p>
    <w:p>
      <w:pPr>
        <w:pStyle w:val="Heading2"/>
      </w:pPr>
      <w:r>
        <w:t>Regeste</w:t>
      </w:r>
    </w:p>
    <w:p>
      <w:r>
        <w:t>Anordnung von Sicherheitshaft | Strafprozess</w:t>
      </w:r>
    </w:p>
    <w:p>
      <w:pPr>
        <w:pStyle w:val="Heading2"/>
      </w:pPr>
      <w:r>
        <w:t>Erwägungen</w:t>
      </w:r>
    </w:p>
    <w:p>
      <w:r>
        <w:rPr>
          <w:b/>
        </w:rPr>
        <w:t>E. 1</w:t>
      </w:r>
    </w:p>
    <w:p>
      <w:r>
        <w:t>Die Staatsanwaltschaft I des Kantons Zürich erhob am 30. September 2021 Anklage gegen den sich in Untersuchungshaft befindlichen A.________ beim Bezirksgericht Zürich. Gleichzeitig beantragte sie beim Zwangsmassnahmengericht des Bezirksgerichts Zürich die Anordnung der Sicherheitshaft. Das Zwangsmassnahmengericht versetzte den Beschuldigten mit Verfügung vom 1. November 2021 in Sicherheitshaft und bewilligte die Sicherheitshaft vorerst bis 1. Mai 2021 (recte 2022), längstens aber bis zum erstinstanzlichen Urteil.</w:t>
      </w:r>
    </w:p>
    <w:p>
      <w:r>
        <w:rPr>
          <w:b/>
        </w:rPr>
        <w:t>E. 2</w:t>
      </w:r>
    </w:p>
    <w:p>
      <w:r>
        <w:t>A.________ erhob mit Eingabe vom 8. November 2021 (Postaufgabe 11. November 2021) Beschwerde in Strafsachen gegen die Verfügung des Bezirksgerichts Zürich, Zwangsmassnahmengericht, vom 1. November 2021. Das Bundesgericht verzichtet auf die Einholung von Vernehmlassungen.</w:t>
      </w:r>
    </w:p>
    <w:p>
      <w:r>
        <w:rPr>
          <w:b/>
        </w:rPr>
        <w:t>E. 3</w:t>
      </w:r>
    </w:p>
    <w:p>
      <w:r>
        <w:t>Die Beschwerde in Strafsachen ist zulässig gegen Entscheide letzter kantonaler Instanzen ( Art. 80 Abs. 1 BGG ). Bei der Verfügung des Bezirksgerichts Zürich, Zwangsmassnahmengericht, handelt es sich nicht um einen letztinstanzlichen kantonalen Entscheid (vgl. Art. 222 StPO ). Dieser kann gemäss Rechtsmittelbelehrung des Zwangsmassnahmengerichts innert 10 Tagen mit Beschwerde bei der III. Strafkammer des Obergerichts des Kantons Zürich angefochten werden. Auf die Beschwerde ist somit im vereinfachten Verfahren nach Art. 108 BGG nicht einzutreten. Sie ist zur weiteren Behandlung der III. Strafkammer des Obergerichts des Kantons Zürich zu überweisen.</w:t>
      </w:r>
    </w:p>
    <w:p>
      <w:r>
        <w:rPr>
          <w:b/>
        </w:rPr>
        <w:t>E. 4</w:t>
      </w:r>
    </w:p>
    <w:p>
      <w:r>
        <w:t>Es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