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611/2019 vom 17. Dezember 2020</w:t>
      </w:r>
    </w:p>
    <w:p>
      <w:r>
        <w:t>Bundesgericht, 2020-12-17, DE</w:t>
      </w:r>
    </w:p>
    <w:p>
      <w:r>
        <w:rPr>
          <w:b/>
        </w:rPr>
        <w:t xml:space="preserve">Quelle: </w:t>
      </w:r>
      <w:r>
        <w:t>https://mcp.opencaselaw.ch/entscheid/bger_1B_611_2019</w:t>
      </w:r>
    </w:p>
    <w:p>
      <w:r>
        <w:t>FR: TF 1B 611/2019 du 17 décembre 2020</w:t>
      </w:r>
    </w:p>
    <w:p>
      <w:r>
        <w:t>IT: TF 1B 611/2019 del 17 dicembre 2020</w:t>
      </w:r>
    </w:p>
    <w:p>
      <w:pPr>
        <w:pStyle w:val="Heading2"/>
      </w:pPr>
      <w:r>
        <w:t>Regeste</w:t>
      </w:r>
    </w:p>
    <w:p>
      <w:r>
        <w:t>Strafverfahren; Entsiegelung | Strafprozess</w:t>
      </w:r>
    </w:p>
    <w:p>
      <w:pPr>
        <w:pStyle w:val="Heading2"/>
      </w:pPr>
      <w:r>
        <w:t>Erwägungen</w:t>
      </w:r>
    </w:p>
    <w:p>
      <w:r>
        <w:rPr>
          <w:b/>
        </w:rPr>
        <w:t>E. 1.1</w:t>
      </w:r>
    </w:p>
    <w:p>
      <w:r>
        <w:t>Angefochten ist ein Entscheid der Beschwerdekammer des Bundesstrafgerichtes über Zwangsmassnahmen im Sinne von Art. 79 BGG i.V.m. Art. 248 StPO und Art. 50 VStrR (vgl. BGE 139 IV 246 E. 1.3 S. 248).</w:t>
      </w:r>
    </w:p>
    <w:p>
      <w:r>
        <w:rPr>
          <w:b/>
        </w:rPr>
        <w:t>E. 1.2</w:t>
      </w:r>
    </w:p>
    <w:p>
      <w:r>
        <w:t>Auch nach dem Inkrafttreten der Eidgenössischen Strafprozessordnung und des Strafbehördenorganisationsgesetzes des Bundes (StBOG [SR 173.71]) am 1. Januar 2011 bleibt das Bundesgesetz vom 22. März 1974 über das Verwaltungsstrafrecht (VStrR [SR 312.0])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1B_210/2017 vom 23. Oktober 2017 E. 1.1; 1B_91/2016 vom 4. August 2016 E. 4.1, mit Hinweis).</w:t>
      </w:r>
    </w:p>
    <w:p>
      <w:r>
        <w:rPr>
          <w:b/>
        </w:rPr>
        <w:t>E. 1.3</w:t>
      </w:r>
    </w:p>
    <w:p>
      <w:r>
        <w:t>Ist die Verfolgung und Beurteilung von Widerhandlungen einer Verwaltungsbehörde des Bundes übertragen, so findet das VStrR Anwendung ( Art. 1 VStrR ). Im vorliegenden Fall ist die ESTV für die Strafuntersuchungen zuständig (vgl. Art. 190 Abs. 1 DBG i.V.m. Art. 67 Abs. 1 des Bundesgesetzes vom 13. Oktober 1965 über die Verrechnungssteuer [VStG, SR 642.12]). 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 s. BGE 139 IV 246 E.1.3 S. 248).</w:t>
      </w:r>
    </w:p>
    <w:p>
      <w:r>
        <w:rPr>
          <w:b/>
        </w:rPr>
        <w:t>E. 1.4</w:t>
      </w:r>
    </w:p>
    <w:p>
      <w:r>
        <w:t>Die Legitimation der ESTV zur Beschwerdeführung ans Bundesgericht ist zu bejahen, zumal sie eine formelle Rechtsverweigerung beanstandet (Art. 81 Abs. 1 lit. b Ziff. 7, Art. 93 Abs. 1 lit. a und Art. 94 BGG ). Die übrigen Sachurteilsvoraussetzungen der Beschwerde ( Art. 79 ff. BGG ) geben zu keinen weiteren Vorbemerkungen Anlass.</w:t>
      </w:r>
    </w:p>
    <w:p>
      <w:r>
        <w:rPr>
          <w:b/>
        </w:rPr>
        <w:t>E. 2</w:t>
      </w:r>
    </w:p>
    <w:p>
      <w:r>
        <w:t>Nach den Feststellungen des Bundesstrafgerichtes weigerte sich die ESTV im vorinstanzlich anhängig gemachten Entsiegelungsverfahren, die versiegelten Unterlagen integral einzureichen. Sie stellte sich auf den Standpunkt, es sei nicht Aufgabe des Bundesstrafgerichtes, "anstelle der Untersuchungsbehörde" über die Relevanz der versiegelten Papiere und die allfällige Ausscheidung von Akten zu entscheiden oder eine summarische Sichtung der Unterlagen vorzunehmen. Für eine eigene Beurteilung der Untersuchungsrelevanz der versiegelten Unterlagen könne sich die Beschwerdekammer auf die Begründung des Entsiegelungsgesuches bzw. den Schriftenwechsel abstützen. Weitergehende Informationen könne sie auch einem "detaillierten Inhaltsverzeichnis" entnehmen, welches noch bei der beschwerdegegnerischen Gesellschaft eingefordert werden könnte, die das Siegelungsbegehren stellte. Die Vorinstanz erwägt im angefochtenen Nichteintretensentscheid, es sei ausschliesslich ihre Aufgabe als Entsiegelungsgericht, und nicht die der ESTV, die versiegelten Dokumente zu sichten und im Rahmen einer richterlichen Triage die allfällig zu entsiegelnden Gegenstände zu benennen. Dabei habe die Beschwerdekammer "diejenigen Unterlagen auszuscheiden, die für die Untersuchung nicht von Bedeutung sind und/oder die aufgrund schützenswerter Geheimnisse ( Art. 50 Abs. 2 VStrR ) nicht durchsucht werden dürfen". Im vorliegenden Fall habe die private Beschwerdegegnerin diverse Dokumente einzeln bezeichnet, die ihrer Ansicht nach mit dem Gegenstand der Untersuchungen in keinem Zusammenhang stünden bzw. der Geheimhaltung unterlägen. Ohne Einsicht in die versiegelten Unterlagen sei es ihr, der Beschwerdekammer, nicht möglich zu überprüfen, ob diese Einwendungen gegen die Entsiegelung begründet seien. Die ESTV sei in diesem Zusammenhang auch darauf hinzuweisen, dass es alleine im Ermessen des Entsiegelungsrichters stehe, "ob die richterliche Triage nach vorgängiger Sichtung der versiegelten Unterlagen oder lediglich gestützt auf ein (detailliertes) Aktenverzeichnis vorgenommen werden" könne. Die beschwerdeführende ESTV rügt sinngemäss, das Nichteintreten auf ihr Entsiegelungsgesuch begründe eine formelle Rechtsverweigerung und verletze bundesrechtliche Verfahrensvorschriften (bzw. das Willkürverbot), darunter Art. 50 VStrR .</w:t>
      </w:r>
    </w:p>
    <w:p>
      <w:r>
        <w:rPr>
          <w:b/>
        </w:rPr>
        <w:t>E. 3.1</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 Art. 50 Abs. 3 VStrR ). Über die Zulässigkeit der Durchsuchung entscheidet dann auf Gesuch der untersuchenden Verwaltungsstrafbehörde die Beschwerdekammer des Bundesstrafgerichts als Entsiegelungsgericht (Art. 50 Abs. 3 i.V.m. Art. 25 Abs. 1 VStrR und Art. 37 Abs. 2 lit. b StBOG ).</w:t>
      </w:r>
    </w:p>
    <w:p>
      <w:r>
        <w:rPr>
          <w:b/>
        </w:rPr>
        <w:t>E. 3.2</w:t>
      </w:r>
    </w:p>
    <w:p>
      <w:r>
        <w:t>Anwendbar ist hier primär das VStrR. Soweit dieses Verfahrensgesetz einzelne Fragen nicht abschliessend regelt, sind die Bestimmungen der StPO grundsätzlich analog anwendbar (vgl. oben, E. 1.2).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i.V.m. Art. 50 Abs. 3 VStrR ). Stellt die Untersuchungsbehörde im Vorverfahren ein Entsiegelungsgesuch, hat der Entsiegelungsrichter auf entsprechende substanziierte Vorbringen von Siegelungsberechtigten hin zu prüfen, ob schutzwürdige Geheimnisinteressen oder andere gesetzliche Entsiegelungshindernisse einer Durchsuchung entgegenstehen ( Art. 248 Abs. 2-4 StPO i.V.m. Art. 50 Abs. 3 VStrR ; vgl. BGE 144 IV 74 E. 2.2 S. 77; 141 IV 77 E. 4.1 S. 81). Der Entsiegelungsrichter darf eine für die Entscheidfindung notwendige richterliche Triage der versiegelten Gegenstände bzw. die Aussonderung von geheimnisgeschützten Aufzeichnungen und Unterlagen nicht an die Untersuchungsbehörde oder an die Polizei "delegieren". Falls er spezialisierte Polizeidienste oder externe Fachexperten (z.B. Informatiker) zur Unterstützung seiner Triage beiziehen will (vgl. Art. 248 Abs. 4 StPO ), hat er dafür zu sorgen, dass die betreffenden Personen nicht auf den Inhalt von (mutmasslich) geheimnisgeschützten Dateien zugreifen können ( BGE 142 IV 372 E. 3.1 S. 374 f.; 141 IV 77 E. 5.5.1 S. 84 f.; 138 IV 225 E. 7.1 S. 229; 137 IV 189 E. 5.1.2 S. 196 f.; s.a Urteile 1B_550/2018 vom 6. August 2019 E. 2.1; 1B_555/2017 vom 22. Juni 2018 E. 3.1 und 3.3; 1B_519/2017 vom 27. März 2018 E. 2.1-2.2; je mit Hinweisen).</w:t>
      </w:r>
    </w:p>
    <w:p>
      <w:r>
        <w:rPr>
          <w:b/>
        </w:rPr>
        <w:t>E. 3.3</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Bürgern oder anderen Behörden den Rechtsweg in unzulässiger Weise versperrt. Ob eine solche Rechtsverweigerung vorliegt, prüft das Bundesgericht mit freier Kognition ( BGE 135 I 6 E. 2.1 S. 9 mit Hinweisen).</w:t>
      </w:r>
    </w:p>
    <w:p>
      <w:r>
        <w:rPr>
          <w:b/>
        </w:rPr>
        <w:t>E. 4</w:t>
      </w:r>
    </w:p>
    <w:p>
      <w:r>
        <w:t>Entgegen der Ansicht der beschwerdeführenden ESTV muss das Bundesstrafgericht als zuständiges Entsiegelungsgericht - nach der oben dargelegten gesetzlichen Regelung und Rechtsprechung - selber prüfen können, ob und auf welche Weise es eine Triage der versiegelten Unterlagen vorzunehmen hat. Zur Erfüllung dieser gesetzlichen Aufgabe muss die Vorinstanz in die versiegelten Unterlagen grundsätzlich integral Einsicht nehmen können. Die ESTV verkennt dabei, dass der Entsiegelungsrichter bei der Prüfung der Zulässigkeit und des allfälligen Umfanges der Entsiegelung nicht bloss auf die Vorbringen der Untersuchungsbehörde in deren Entsiegelungsgesuch abstellen kann. Vielmehr muss er seine Sachverhaltsfeststellungen auf die relevanten Akten stützen. Es ist auch klarerweise Sache des Entsiegelungsrichters - und nicht die Aufgabe der ESTV -, prozessleitend zu entscheiden, ob für eine gebotene richterliche Triage der versiegelten Unterlagen deren Sichtung notwendig erscheint oder ob in begründeten Ausnahmefällen auch schon aufgrund von "Aktenverzeichnissen" der edierenden Person oder Gesellschaft entschieden werden könnte. Festzustellen ist gleichzeitig auch, dass hier ein formgültig erhobenes Entsiegelungsgesuch vorliegt. Sofern die ESTV an diesem festhalten möchte, hat sie der Vorinstanz unverzüglich alle versiegelten Unterlagen integral nachzureichen. Diesfalls hätte die Beschwerdekammer noch über das hängige Entsiegelungsgesuch zu entscheiden; andernfalls könnte die Vorinstanz das Entsiegelungsverfahren als erledigt abschreiben. Auf materielle (akzessorische) Vorbringen der Verfahrensbeteiligten in der hängigen Entsiegelungssache, die gar nicht Gegenstand des angefochtenen Nichteintretensentscheides bilden, ist hingegen nicht einzutreten.</w:t>
      </w:r>
    </w:p>
    <w:p>
      <w:r>
        <w:rPr>
          <w:b/>
        </w:rPr>
        <w:t>E. 5</w:t>
      </w:r>
    </w:p>
    <w:p>
      <w:r>
        <w:t>Die Beschwerde ist folglich (im Sinne der obigen Erwägungen) abzuweisen, soweit darauf eingetreten werden kann. Bei diesem Verfahrensausgang sind keine Gerichtskosten zu erheben ( Art. 66 Abs. 4 BGG ). Der anwaltlich vertretenen privaten Beschwerdegegnerin ist eine angemessene Parteientschädigung zuzusprechen ( Art. 68 BGG ). Eine Kostennote wurde nicht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