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1B_610/2020 vom 17. März 2021</w:t>
      </w:r>
    </w:p>
    <w:p>
      <w:r>
        <w:t>Bundesgericht, 2021-03-17, DE</w:t>
      </w:r>
    </w:p>
    <w:p>
      <w:r>
        <w:rPr>
          <w:b/>
        </w:rPr>
        <w:t xml:space="preserve">Quelle: </w:t>
      </w:r>
      <w:r>
        <w:t>https://mcp.opencaselaw.ch/entscheid/bger_1B_610_2020</w:t>
      </w:r>
    </w:p>
    <w:p>
      <w:r>
        <w:t>FR: TF 1B_610/2020 du 17 mars 2021</w:t>
      </w:r>
    </w:p>
    <w:p>
      <w:r>
        <w:t>IT: TF 1B_610/2020 del 17 marzo 2021</w:t>
      </w:r>
    </w:p>
    <w:p>
      <w:pPr>
        <w:pStyle w:val="Heading2"/>
      </w:pPr>
      <w:r>
        <w:t>Erwägungen</w:t>
      </w:r>
    </w:p>
    <w:p>
      <w:r>
        <w:rPr>
          <w:b/>
        </w:rPr>
        <w:t>E. 1</w:t>
      </w:r>
    </w:p>
    <w:p>
      <w:r>
        <w:t>Am 16. Juni 2020 hat die Staatsanwaltschaft Appenzell Ausserrhoden das von A.________ gegen B.________ und C.________ angestrengte Strafverfahren nicht an die Hand genommen.</w:t>
      </w:r>
    </w:p>
    <w:p>
      <w:r>
        <w:t>Am 30. Juni 2020 erhob A.________ gegen diese Verfügung Beschwerde ans Obergericht Appenzell Ausserrhoden und stellte gleichzeitig ein Gesuch um unentgeltliche Rechtspflege und Verbeiständung, welches am 27. Oktober 2020 abgewiesen wurde.</w:t>
      </w:r>
    </w:p>
    <w:p>
      <w:r>
        <w:t>Mit Eingabe vom 25. November 2020 erhebt A.________ Beschwerde gegen diesen Entscheid mit dem sinngemässen Antrag, ihn aufzuheben und ihm für das obergerichtliche Beschwerdeverfahren unentgeltliche Rechtspflege und Verbeiständung zu gewähren.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Nach Art. 136 Abs. 1 StPO gewährt die Verfahrensleitung dem Privatkläger für die Durchsetzung seiner Zivilansprüche unentgeltliche Rechtspflege, wenn er nicht über die erforderlichen Mittel verfügt und die Zivilklage nicht aussichtslos erscheint. Der Einzelrichter des Obergerichts hat im angefochtenen Entscheid beide Voraussetzungen verneint: Der Beschwerdeführer habe weder Zivilansprüche geltend gemacht noch seine Mittellosigkeit nachgewiesen.</w:t>
      </w:r>
    </w:p>
    <w:p>
      <w:r>
        <w:t>Der Beschwerdeführer müsste damit dartun, dass beide Voraussetzungen erfüllt sind. Er legt in seiner Beschwerde indessen nur dar, dass er entgegen der Annahme des angefochtenen Entscheides sehr wohl mittellos sei. Eine Erklärung darüber, welche Zivilansprüche er im Strafverfahren erheben will und weshalb diese nicht aussichtslos sein sollen, liefert er dagegen nicht. Seine Ausführungen sind damit nicht geeignet, den angefochtenen Entscheid bundesrechtswidrig erscheinen zu lassen. Auf die Beschwerde ist wegen Verletzung der gesetzlichen Begründungspflicht nicht einzutreten, wobei auf die Erhebung von Kosten verzichtet werden kann.</w:t>
      </w:r>
    </w:p>
    <w:p>
      <w:r>
        <w:rPr>
          <w:b/>
        </w:rPr>
        <w:t>E. 3</w:t>
      </w:r>
    </w:p>
    <w:p>
      <w:r>
        <w:t>Am 14. Dezember 2020 hat das Obergericht, das in diesem Zeitpunkt keine Kenntnis vom bundesgerichtlichen Verfahren hatte, vom Beschwerdeführer die Zahlung einer Sicherheitsleistung von Fr. 800.- verlangt. Mit Eingabe vom 21. Dezember 2020 ficht der Beschwerdeführer auch diese Verfügung an, ohne allerdings in einer den gesetzlichen Anforderungen entsprechenden Weise zu begründen, weshalb sie bundesrechtswidrig sein soll. Auf die Beschwerde ist daher auch insoweit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