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1B_60/2017 vom 11. Mai 2017</w:t>
      </w:r>
    </w:p>
    <w:p>
      <w:r>
        <w:t>Bundesgericht, 2017-05-11, FR</w:t>
      </w:r>
    </w:p>
    <w:p>
      <w:r>
        <w:rPr>
          <w:b/>
        </w:rPr>
        <w:t xml:space="preserve">Quelle: </w:t>
      </w:r>
      <w:r>
        <w:t>https://mcp.opencaselaw.ch/entscheid/bger_1B_60_2017</w:t>
      </w:r>
    </w:p>
    <w:p>
      <w:r>
        <w:t>FR: TF 1B_60/2017 du 11 mai 2017</w:t>
      </w:r>
    </w:p>
    <w:p>
      <w:r>
        <w:t>IT: TF 1B_60/2017 del 11 maggio 2017</w:t>
      </w:r>
    </w:p>
    <w:p>
      <w:pPr>
        <w:pStyle w:val="Heading2"/>
      </w:pPr>
      <w:r>
        <w:t>Erwägungen</w:t>
      </w:r>
    </w:p>
    <w:p>
      <w:r>
        <w:rPr>
          <w:b/>
        </w:rPr>
        <w:t>E. 1</w:t>
      </w:r>
    </w:p>
    <w:p>
      <w:r>
        <w:t>L'arrêt attaqué, qui confirme le séquestre de l'immeuble de la recourante, est une décision rendue en matière pénale au sens de l' art. 78 al. 1 LTF .</w:t>
      </w:r>
    </w:p>
    <w:p>
      <w:r>
        <w:rPr>
          <w:b/>
        </w:rPr>
        <w:t>E. 1.1</w:t>
      </w:r>
    </w:p>
    <w:p>
      <w:r>
        <w:t>En tant que propriétaire de l'immeuble saisi, la recourante peut se prévaloir d'un intérêt juridique à obtenir l'annulation ou la modification de cette décision, de sorte qu'elle dispose de la qualité pour recourir au sens de l' art. 81 al. 1 LTF ( ATF 133 IV 278 consid. 1.3 p. 282 s.; 128 IV 145 consid. 1a p. 148).</w:t>
      </w:r>
    </w:p>
    <w:p>
      <w:r>
        <w:rPr>
          <w:b/>
        </w:rPr>
        <w:t>E. 1.2</w:t>
      </w:r>
    </w:p>
    <w:p>
      <w:r>
        <w:t>La décision par laquelle le juge prononce un séquestre pénal constitue une décision incidente. Cela étant, la jurisprudence admet que le séquestre de valeurs patrimoniales cause en principe un dommage irréparable au sens de l' art. 93 al. 1 let. a LTF , dans la mesure où le propriétaire se trouve privé temporairement de la libre disposition des valeurs saisies ( ATF 126 I 97 consid. 1b p. 101; voir également ATF 133 IV 139 consid. 4 p. 141; 128 I 129 consid. 1 p. 131). 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1.3</w:t>
      </w:r>
    </w:p>
    <w:p>
      <w:r>
        <w:t>Quand bien même le recours est rédigé en allemand, le présent arrêt est rendu en français, langue de la décision attaquée ( art. 54 al. 1 LTF ).</w:t>
      </w:r>
    </w:p>
    <w:p>
      <w:r>
        <w:rPr>
          <w:b/>
        </w:rPr>
        <w:t>E. 2</w:t>
      </w:r>
    </w:p>
    <w:p>
      <w:r>
        <w:t>Invoquant une violation de l' art. 268 CPP ainsi que son droit d'être entendue, la recourante expose qu'elle a été fondée à la fin des années 1990. L'immeuble saisi a été construit à cette même époque. En 2007, elle a été reprise par E.________ qui, lors de sa liquidation en 2013, l'a revendue à C.________. Cette vente, au prix du marché, serait intervenue environ une année après que B.________ a quitté le conseil d'administration de E.________; le prévenu ne pouvait dès lors avoir influencé l'opération, à propos de laquelle les liquidateurs de E.________ n'auraient élevé aucune objection. Le mariage avec D.________ serait intervenu une année après la vente. L'instance précédente aurait méconnu l'ensemble des faits allégués par la recourante à ce propos. Il n'y aurait ni acte simulé, ni identité économique.</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Dans le cas particulier de l' art. 268 CPP , le patrimoine du prévenu peut être séquestré afin de couvrir les frais et indemnités de procédure ainsi que les peines pécuniaires et amendes.</w:t>
      </w:r>
    </w:p>
    <w:p>
      <w:r>
        <w:t>Une mesure de séquestre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ou de mise à charge des frais (arrêt 1P.405/1993 du 8 novembre 1993 consid. 3 publié in SJ 1994 p. 97).</w:t>
      </w:r>
    </w:p>
    <w:p>
      <w:r>
        <w:t>Selon la théorie de la transparence ("Durchgriff"), on ne peut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 rt. 2 al. 2 CC; ATF 132 III 489 consid. 3.2, 737 consid. 2.3; 121 III 319 consid. 5 a/aa p. 321; cf. également arrêts 1B_ 274/2012 du 11 juillet 2012 consid. 2.2 et 4A_384/2008 du 9 décembre 2008 consid. 4.1 in SJ 2009 I 424).</w:t>
      </w:r>
    </w:p>
    <w:p>
      <w:r>
        <w:rPr>
          <w:b/>
        </w:rPr>
        <w:t>E. 2.2</w:t>
      </w:r>
    </w:p>
    <w:p>
      <w:r>
        <w:t>En l'occurrence, même si l'aliénation par E.________ des actions A.________ a eu lieu apparemment aux conditions du marché et n'a ainsi pas occasionné de préjudice, elle a néanmoins pu être destinée à empêcher une saisie de l'immeuble comme patrimoine du prévenu. Le fait que celui-ci a quitté le conseil d'administration de E.________ et que son mariage avec D.________ a eu lieu ultérieurement n'enlève rien à cette possibilité. Le recourant pouvait connaître sa future épouse au moment de l'opération, et il pouvait aussi conserver en fait une certaine influence sur la société qu'il dirigeait et dont il était encore l'actionnaire. Sous l'angle de la vraisemblance, les conditions de l' art. 268 CPP sont ainsi réunies.</w:t>
      </w:r>
    </w:p>
    <w:p>
      <w:r>
        <w:rPr>
          <w:b/>
        </w:rPr>
        <w:t>E. 2.3</w:t>
      </w:r>
    </w:p>
    <w:p>
      <w:r>
        <w:t>Invoquant le principe de la proportionnalité, la recourante relève que compte tenu des saisies qui frappent déjà les avoirs de B.________, la couverture des frais envisageables serait déjà assurée de sorte que le séquestre sur son immeuble serait disproportionné. La recourante affirme avoir démontré dans son recours à la Cour des plaintes qu'une saisie en vue d'une restitution ou d'une confiscation n'entrait pas en considération; l'instance précédente aurait aussi omis de statuer à ce propos.</w:t>
      </w:r>
    </w:p>
    <w:p>
      <w:r>
        <w:t>Dans sa décision de séquestre, le MPC motive sa mesure non seulement en vue du paiement des frais, indemnités et peines pécuniaires, mais aussi pour garantir le paiement d'une éventuelle créance compensatrice. Il est vrai que la Cour des plaintes ne se penche pas sur cette dernière motivation. Cela ne prête pas à conséquence dès lors que les motifs retenus par l'instance précédente peuvent être confirmés, également sous l'angle de la proportionnalité. Il ressort en effet de la décision du MPC que les séquestres prononcés (USD 30'000'000 pour ce qui concerne les biens qui ont pu être évalués) sont apparemment insuffisants au regard des montants provenant des activités frauduleuses (soit au moins USD 55'000'000 selon le MPC). Dès lors, le paiement des frais, indemnités et peines pécuniaires n'est en l'état nullement garanti, contrairement à ce que soutient la recourante. L'atteinte au droit de propriété de la recourante apparaît également limitée puisqu'une utilisation de l'immeuble est encore possible, seul le droit de disposition étant temporairement paralysé. Le principe de la proportionnalité est dès lors respecté en l'état.</w:t>
      </w:r>
    </w:p>
    <w:p>
      <w:r>
        <w:rPr>
          <w:b/>
        </w:rPr>
        <w:t>E. 3</w:t>
      </w:r>
    </w:p>
    <w:p>
      <w:r>
        <w:t>Sur le vu de ce qui précède, le recours est rejeté. Conformément à l' art. 66 al. 1 LTF , les frais judiciaires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