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1B_60/2011 vom 1. April 2011</w:t>
      </w:r>
    </w:p>
    <w:p>
      <w:r>
        <w:t>Bundesgericht, 2011-04-01, FR</w:t>
      </w:r>
    </w:p>
    <w:p>
      <w:r>
        <w:rPr>
          <w:b/>
        </w:rPr>
        <w:t xml:space="preserve">Quelle: </w:t>
      </w:r>
      <w:r>
        <w:t>https://mcp.opencaselaw.ch/entscheid/bger_1B_60_2011</w:t>
      </w:r>
    </w:p>
    <w:p>
      <w:r>
        <w:t>FR: TF 1B_60/2011 du 1 avril 2011</w:t>
      </w:r>
    </w:p>
    <w:p>
      <w:r>
        <w:t>IT: TF 1B_60/2011 del 1 aprile 2011</w:t>
      </w:r>
    </w:p>
    <w:p>
      <w:pPr>
        <w:pStyle w:val="Heading2"/>
      </w:pPr>
      <w:r>
        <w:t>Erwägungen</w:t>
      </w:r>
    </w:p>
    <w:p>
      <w:r>
        <w:rPr>
          <w:b/>
        </w:rPr>
        <w:t>E. 1</w:t>
      </w:r>
    </w:p>
    <w:p>
      <w:r>
        <w:t>Selon l' art. 79 LTF , le recours en matière pénale est recevable contre les arrêts de la Cour des plaintes qui portent sur des mesures de contraintes. La décision relative au maintien d'un séquestre pénal d'avoirs bancaires constitue une telle mesure.</w:t>
      </w:r>
    </w:p>
    <w:p>
      <w:r>
        <w:rPr>
          <w:b/>
        </w:rPr>
        <w:t>E. 1.1</w:t>
      </w:r>
    </w:p>
    <w:p>
      <w:r>
        <w:t>En tant que titulaire du compte saisi, ayant participé à la procédure devant la Cour des plaintes, la recourante a qualité pour agir ( art. 81 al. 1 LTF ).</w:t>
      </w:r>
    </w:p>
    <w:p>
      <w:r>
        <w:rPr>
          <w:b/>
        </w:rPr>
        <w:t>E. 1.2</w:t>
      </w:r>
    </w:p>
    <w:p>
      <w:r>
        <w:t>La décision par laquelle le juge ordonne ou maintient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 89 I 185 consid. 4 p. 187 et les références).</w:t>
      </w:r>
    </w:p>
    <w:p>
      <w:r>
        <w:rPr>
          <w:b/>
        </w:rPr>
        <w:t>E. 1.3</w:t>
      </w:r>
    </w:p>
    <w:p>
      <w:r>
        <w:t>Dans le cas d'un recours dirigé, comme en l'espèce, contre une mesure provisionnelle, seule peut être invoquée la violation de droits fondamentaux ( art. 98 LTF ; cf. ATF 126 I 97 consid. 1c p. 102). Lorsque de tels griefs sont soulevés, l' art. 106 al. 2 LTF prévoit pour la motivation du recours des exigences qualifiées ( ATF 134 I 83 consid. 3.2 p. 88). Le recourant doit ainsi indiquer, dans l'acte de recours lui-même, quel droit constitutionnel aurait été violé et montrer, par une argumentation circonstanciée, en quoi consiste sa violation (cf. ATF 134 III 186 consid. 5 p. 187; 133 II 249 consid. 1.4.2 p. 254; 130 I 26 consid. 2.1 p. 31, 258 consid. 1.3 p. 261). Les critiques de nature appellatoire sont irrecevables (cf. ATF 133 III 585 consid. 4 p. 589; 130 I 258 consid. 1.3 et les arrêts cités).</w:t>
      </w:r>
    </w:p>
    <w:p>
      <w:r>
        <w:rPr>
          <w:b/>
        </w:rPr>
        <w:t>E. 1.4</w:t>
      </w:r>
    </w:p>
    <w:p>
      <w:r>
        <w:t>Le code de procédure pénale suisse (CPP; RS 312.0) est entré en vigueur le 1er janvier 2011 et s'applique en principe aux procédures pendantes à cette date ( art. 448 CPP ). Toutefois, la décision de maintien du séquestre a été rendue avant cette date, de sorte que le recours a été traité, à juste titre, selon l'ancien droit ( art. 453 al. 1 CPP ).</w:t>
      </w:r>
    </w:p>
    <w:p>
      <w:r>
        <w:rPr>
          <w:b/>
        </w:rPr>
        <w:t>E. 2</w:t>
      </w:r>
    </w:p>
    <w:p>
      <w:r>
        <w:t>La recourante conteste les soupçons de blanchiment d'argent et estime que la Cour des plaintes aurait arbitrairement omis de tenir compte des déclarations faites par C.________ devant la police fédérale lors de son audition du 10 janvier 2009. Celui-ci avait en effet déclaré qu'après avoir découvert les pertes de 40 millions d'euros, il avait immédiatement demandé, en janvier 2009, le transfert du solde de ses avoirs sur des comptes aux Etats-Unis et en Amérique centrale. Il serait donc exclu que le compte de la recourante abrite encore des fonds provenant de C.________, virés entre avril et juin 2009.</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65 PPF , disposition selon laquelle les objets et les valeurs qui feront probablement l'objet d'une confiscation peuvent également être séquestrés (cf. actuellement l' art. 263 al. 1 let . d CPP). Comme cela ressort du texte de l' art. 65 PPF (cf. également l' art. 263 al. 1 CPP ), une telle mesure est fondée sur la vraisemblance; elle porte sur des objets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2.2</w:t>
      </w:r>
    </w:p>
    <w:p>
      <w:r>
        <w:t>La recourante prétend en vain que le solde des fonds confiés à B.________ par C.________ auraient été restitués à ce dernier. En effet, si une convention d'indemnisation a été signée le 9 avril 2009 entre les deux hommes, rien ne permet d'affirmer que l'ensemble des fonds remis par C.________ lui aient été immédiatement et intégralement restitués. Par ailleurs, si ces fonds étaient d'origine illicite - la recourante ne prétend pas le contraire -, il n'est pas exclu qu'une créance compensatrice puisse être finalement prononcée. Au demeurant, les soupçons ne se rapportent pas uniquement aux fonds déposés par C.________. B.________ se voit en effet reprocher d'avoir prêté son concours à des opérations sous de fausses identités, et le compte de la recourante, qui a servi à des transferts pour des clients de B.________ alors qu'il devait être réservé aux activités propres de la société, aurait ainsi pu être utilisé dans des opérations de blanchiment. Compte tenu des soupçons rappelés dans l'arrêt attaqué, le séquestre peut être maintenu tant que l'identité des ayants droit du compte et l'origine des fonds n'ont pas été suffisamment établies.</w:t>
      </w:r>
    </w:p>
    <w:p>
      <w:r>
        <w:rPr>
          <w:b/>
        </w:rPr>
        <w:t>E. 3</w:t>
      </w:r>
    </w:p>
    <w:p>
      <w:r>
        <w:t>Le recours doit par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