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1B_609/2022 vom 30. November 2022</w:t>
      </w:r>
    </w:p>
    <w:p>
      <w:r>
        <w:t>Bundesgericht, 2022-11-30, DE</w:t>
      </w:r>
    </w:p>
    <w:p>
      <w:r>
        <w:rPr>
          <w:b/>
        </w:rPr>
        <w:t xml:space="preserve">Quelle: </w:t>
      </w:r>
      <w:r>
        <w:t>https://mcp.opencaselaw.ch/entscheid/bger_1B_609_2022</w:t>
      </w:r>
    </w:p>
    <w:p>
      <w:r>
        <w:t>FR: TF 1B_609/2022 du 30 novembre 2022</w:t>
      </w:r>
    </w:p>
    <w:p>
      <w:r>
        <w:t>IT: TF 1B_609/2022 del 30 novembre 2022</w:t>
      </w:r>
    </w:p>
    <w:p>
      <w:pPr>
        <w:pStyle w:val="Heading2"/>
      </w:pPr>
      <w:r>
        <w:t>Erwägungen</w:t>
      </w:r>
    </w:p>
    <w:p>
      <w:r>
        <w:rPr>
          <w:b/>
        </w:rPr>
        <w:t>E. 1</w:t>
      </w:r>
    </w:p>
    <w:p>
      <w:r>
        <w:t>Das Amt für Justizvollzug und Wiedereingliederung des Kantons Zürich wies mit Verfügung vom 27. Juli 2022 Gesuche von A.________ um Rückversetzung vom Gefängnis Zürich ins Gefängnis Pfäffikon bzw. um Versetzung ins Gefängnis Winterthur ab. Den dagegen von A.________ erhobenen Rekurs wies die Direktion der Justiz und des Innern des Kantons Zürich mit Verfügung vom 19. September 2022 ab, soweit sie darauf eintrat. Dagegen erhob A.________ am 23. September 2022 Beschwerde. Das Verwaltungsgericht des Kantons Zürich trat mit Verfügung vom 10. November 2022 auf die Beschwerde nicht ein.</w:t>
      </w:r>
    </w:p>
    <w:p>
      <w:r>
        <w:rPr>
          <w:b/>
        </w:rPr>
        <w:t>E. 2</w:t>
      </w:r>
    </w:p>
    <w:p>
      <w:r>
        <w:t>A.________ führt mit Eingabe vom 25. November 2022 Beschwerde in Strafsachen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der angefochtenen Verfügung nicht auseinander. Mit seinen kaum verständlichen Ausführungen vermag er nicht im Einzelnen und konkret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