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1B_608/2019 vom 11. Juni 2020</w:t>
      </w:r>
    </w:p>
    <w:p>
      <w:r>
        <w:t>Bundesgericht, 2020-06-11, FR</w:t>
      </w:r>
    </w:p>
    <w:p>
      <w:r>
        <w:rPr>
          <w:b/>
        </w:rPr>
        <w:t xml:space="preserve">Quelle: </w:t>
      </w:r>
      <w:r>
        <w:t>https://mcp.opencaselaw.ch/entscheid/bger_1B_608_2019</w:t>
      </w:r>
    </w:p>
    <w:p>
      <w:r>
        <w:t>FR: TF 1B_608/2019 du 11 juin 2020</w:t>
      </w:r>
    </w:p>
    <w:p>
      <w:r>
        <w:t>IT: TF 1B_608/2019 del 11 giugno 2020</w:t>
      </w:r>
    </w:p>
    <w:p>
      <w:pPr>
        <w:pStyle w:val="Heading2"/>
      </w:pPr>
      <w:r>
        <w:t>Erwägungen</w:t>
      </w:r>
    </w:p>
    <w:p>
      <w:r>
        <w:rPr>
          <w:b/>
        </w:rPr>
        <w:t>E. 1</w:t>
      </w:r>
    </w:p>
    <w:p>
      <w:r>
        <w:t>Le recours est dirigé contre une décision d'irrecevabilité prise en dernière instance cantonale; sur le fond, la contestation porte sur les conditions de la détention provisoire, qui font partie des décisions rendues en matière pénale au sens de l' art. 78 al. 1 LTF (arrêt 1B_369/2013 du 26 février 2014 consid. 1, non publié in ATF 140 I 125 ). Le recours en matière pénale, au sens de l' art. 78 al. 1 LTF , est donc en principe ouvert. Le recourant est directement touché par le prononcé d'irrecevabilité de l'arrêt attaqué et dispose d'un intérêt juridique à en obtenir l'annulation ( art. 81 al. 1 LTF ). Son recours a en outre été déposé en temps utile ( art. 100 al. 1 LTF ).</w:t>
      </w:r>
    </w:p>
    <w:p>
      <w:r>
        <w:t>Le recourant ne saurait prendre des conclusions allant au-delà de l'objet du litige. Or, en l'espèce, les juges cantonaux ont refusé d'entrer en matière sur le recours. Seule la question de la recevabilité du recours cantonal peut donc être portée devant le Tribunal fédéral qui n'a, à ce stade, pas à examiner le fond de la contestation. En cas d'admission du recours, la cause devrait être renvoyée à l'instance précédente pour qu'elle entre en matière sur le recours et statue au fond. Les conclusions tendant à la constatation de la violation de la liberté de croyance et d'opinion et à l'octroi d'une indemnité de 3'000 francs à titre de tort moral sont donc irrecevables. Il en va de même des griefs portant sur la violation de la liberté d'opinion et de croyance.</w:t>
      </w:r>
    </w:p>
    <w:p>
      <w:r>
        <w:rPr>
          <w:b/>
        </w:rPr>
        <w:t>E. 2</w:t>
      </w:r>
    </w:p>
    <w:p>
      <w:r>
        <w:t>Le recourant se plaint d'une appréciation arbitraire des faits pertinents ( art. 97 al. 1 LTF ) et d'une violation de son droit d'être entendu ( art. 29 al. 2 Cst. ).</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w:t>
      </w:r>
    </w:p>
    <w:p>
      <w:r>
        <w:rPr>
          <w:b/>
        </w:rPr>
        <w:t>E. 2.2</w:t>
      </w:r>
    </w:p>
    <w:p>
      <w:r>
        <w:t>En l'occurrence, le recourant reproche à la cour cantonale d'avoir retenu qu'"aucun élément du dossier ne laisse à penser qu'il serait susceptible d'être incarcéré à nouveau". Il explique qu'il a été condamné, le 8 novembre 2019, à une peine privative de liberté ferme de 12 mois, sous déduction des 345 jours passés en détention préventive. Il fait valoir que si l'exécution du solde de la peine est suspendue en raison de l'appel qu'il a déposé contre le jugement de première instance, il existe une décision judiciaire exigeant qu'il soit à nouveau incarcéré pour au moins 20 jours.</w:t>
      </w:r>
    </w:p>
    <w:p>
      <w:r>
        <w:t>Ce complément de l'état de fait n'est cependant pas susceptible d'avoir une incidence sur l'issue du litige. En effet, la cour cantonale a déclaré le recours irrecevable pour deux motifs, l'absence de décision au sens de l' art. 4 LPA d'une part et le défaut d'intérêt actuel d'autre part. Dès lors que la motivation relative à l'absence de décision doit être confirmée (cf. infra consid. 3.3), ce constat scelle le sort du recours sans qu'il y ait lieu d'examiner les critiques soulevées par le recourant relatives à la motivation complémentaire tirée de l'absence d'intérêt actuel.</w:t>
      </w:r>
    </w:p>
    <w:p>
      <w:r>
        <w:t>Mal fondé, le grief de l'établissement arbitraire et incomplet des faits doit être rejeté. Pour les mêmes motifs, il en va de même de la critique relative à la violation du droit d'être entendu en lien avec le renseignement donné par l'Office cantonal de la détention - selon lequel le recourant ne serait plus détenu depuis le 8 novembre 2019 -.</w:t>
      </w:r>
    </w:p>
    <w:p>
      <w:r>
        <w:rPr>
          <w:b/>
        </w:rPr>
        <w:t>E. 3</w:t>
      </w:r>
    </w:p>
    <w:p>
      <w:r>
        <w:t>Le recourant soutient que le courrier du 15 août 2019 constitue matériellement une décision au sens de l' art. 4 LPA . Il ne fait cependant pas valoir une application arbitraire du droit cantonal. Il se plaint uniquement d'une violation du droit à un recours effectif ( art. 13 CEDH et 30 Cst.). Il soutient que le constat d'irrecevabilité le prive de la possibilité de faire examiner le fond de son recours, à savoir la violation de la liberté de conscience ( art. 9 CEDH ).</w:t>
      </w:r>
    </w:p>
    <w:p>
      <w:r>
        <w:rPr>
          <w:b/>
        </w:rPr>
        <w:t>E. 3.1</w:t>
      </w:r>
    </w:p>
    <w:p>
      <w:r>
        <w:t>A teneur de l' art. 4 al. 1 LPA , sont considérées comme des décisions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ou de rejeter ou de déclarer irrecevables des demandes tendant à créer, modifier, annuler ou constater des droits ou des obligations (let. c) ".</w:t>
      </w:r>
    </w:p>
    <w:p>
      <w:r>
        <w:t>L' art. 4 LPA définit la notion de décision de la même manière que l'art. 5 al. 1 de la loi fédérale sur la procédure administrative (PA; RS 172.021). La notion de décision implique donc un rapport juridique obligatoire et contraignant entre l'autorité et l'administré (arrêt 1C_471/2019 du 11 février 2020 consid. 3.1 et les références citées).</w:t>
      </w:r>
    </w:p>
    <w:p>
      <w:r>
        <w:t>En revanche, de simples déclarations, comme des opinions, des communications, des prises de position, des recommandations et des renseignements n'entrent pas dans la catégorie des décisions, faute de caractère juridique contraignant (arrêt 1C_593/2016 du 11 septembre 2017 consid. 2.2; 8C_220/2011 du 2 mars 2012 consid. 4.1.2 in SJ 2013 I 18 consid. 4).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1C_361/2019 du 7 janvier 2020 consid. 3.1.2 et les arrêts cités).</w:t>
      </w:r>
    </w:p>
    <w:p>
      <w:r>
        <w:rPr>
          <w:b/>
        </w:rPr>
        <w:t>E. 3.2</w:t>
      </w:r>
    </w:p>
    <w:p>
      <w:r>
        <w:t>En l'espèce, il ressort du courrier de la Direction de la prison du 15 août 2019 que les repas végétariens proposés à la prison sont compatibles avec des repas véganes, hormis deux plats, décrits, que la prison tente d'adapter dans la mesure de ses moyens; l'intéressé bénéficie en outre de rations supplémentaires de fruits, légumes, crudités et féculents; par ailleurs, quatorze produits véganes sont disponibles à l'épicerie de la prison. Ce courrier a ainsi la portée d'une information ou d'un rappel à l'attention de l'intéressé des informations déjà données en mai 2019 relatives aux efforts fournis par l'établissement aux fins de respecter son régime alimentaire végane. Il ne constitue pas un refus de fournir un régime végane au recourant. ll ne crée donc aucun rapport juridique contraignant. Il n'y a pas application, au travers du courrier du 15 août 2019, de normes de droit public. La Cour de justice pouvait dès lors considérer sans arbitraire que ladite communication ne constituait pas une décision sujette à recours au sens de l' art. 4 al. 1 LPA .</w:t>
      </w:r>
    </w:p>
    <w:p>
      <w:r>
        <w:t>Le recourant semble d'ailleurs en avoir conscience puisqu'il a sollicité, le 20 août 2019, que la prison prononce une décision de "refus de changement de régime alimentaire".</w:t>
      </w:r>
    </w:p>
    <w:p>
      <w:r>
        <w:rPr>
          <w:b/>
        </w:rPr>
        <w:t>E. 3.3</w:t>
      </w:r>
    </w:p>
    <w:p>
      <w:r>
        <w:t>Quant à la violation alléguée de l' art. 13 CEDH , la Cour européenne des droits de l'homme estime que le grief tiré de l' art. 13 CEDH est absorbé par l' art. 6 par. 1 CEDH (arrêt de la Cour européenne des droits de l'homme,</w:t>
      </w:r>
    </w:p>
    <w:p>
      <w:r>
        <w:t>Tabbane contre Suisse du 1er mars 2016, note 28). Les art. 6 (droit à un procès équitable) et 13 CEDH (droit à un recours effectif) n'offrent en principe pas de protection plus étendue que les art. 29 et 29a Cst. , ce que le recourant ne prétend d'ailleurs pas ( ATF 130 I 312 consid. 1.1 p. 317; arrêt 2C_684/2015 du 24 février 2017 consid. 6.1 et les arrêts cités).</w:t>
      </w:r>
    </w:p>
    <w:p>
      <w:r>
        <w:t>Or, les garanties d'accès à la justice ancrées aux art. 29, 29a et 30 Cst. ne s'opposent pas à ce qu'une voie de droit soit assortie des conditions de recevabilité usuelles ( ATF 143 I 344 consid. 8.2 p. 351; 136 I 323 consid. 4.3 p. 328). En effet, ces garanties n'empêchent pas l'autorité saisie d'un recours de refuser d'entrer en matière sur celui-ci, lorsqu'il ne satisfait pas aux exigences formelles posées. Le grief tombe donc à faux.</w:t>
      </w:r>
    </w:p>
    <w:p>
      <w:r>
        <w:rPr>
          <w:b/>
        </w:rPr>
        <w:t>E. 4</w:t>
      </w:r>
    </w:p>
    <w:p>
      <w:r>
        <w:t>Il s'ensuit que le recours doit être rejeté.</w:t>
      </w:r>
    </w:p>
    <w:p>
      <w:r>
        <w:t>Le recours étant d'emblée dénué de chance de succès, la requête d'assistance judiciaire doit être rejetée ( art. 64 al. 1 LTF ). Il peut toutefois, à titre exceptionnel, être renoncé à la perception de frais judiciaires ( art. 66 al. 1 2 ème phrase LTF).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