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1B_607/2022 vom 30. November 2022</w:t>
      </w:r>
    </w:p>
    <w:p>
      <w:r>
        <w:t>Bundesgericht, 2022-11-30, DE</w:t>
      </w:r>
    </w:p>
    <w:p>
      <w:r>
        <w:rPr>
          <w:b/>
        </w:rPr>
        <w:t xml:space="preserve">Quelle: </w:t>
      </w:r>
      <w:r>
        <w:t>https://mcp.opencaselaw.ch/entscheid/bger_1B_607_2022</w:t>
      </w:r>
    </w:p>
    <w:p>
      <w:r>
        <w:t>FR: TF 1B_607/2022 du 30 novembre 2022</w:t>
      </w:r>
    </w:p>
    <w:p>
      <w:r>
        <w:t>IT: TF 1B_607/2022 del 30 novembre 2022</w:t>
      </w:r>
    </w:p>
    <w:p>
      <w:pPr>
        <w:pStyle w:val="Heading2"/>
      </w:pPr>
      <w:r>
        <w:t>Erwägungen</w:t>
      </w:r>
    </w:p>
    <w:p>
      <w:r>
        <w:rPr>
          <w:b/>
        </w:rPr>
        <w:t>E. 1</w:t>
      </w:r>
    </w:p>
    <w:p>
      <w:r>
        <w:t>Das Amt für Justizvollzug und Wiedereingliederung des Kantons Zürich bestrafte A.________ mit Disziplinarverfügung vom 2. Mai 2022 wegen (versuchten) Medikamentenhandels im Gefängnis Horgen mit einem fünftägigen Ausschluss aus dem Gemeinschaftsbetrieb, der vom 3. bis 8. Mai 2022 vollzogen wurde. Den dagegen von A.________ erhobenen Rekurs wies die Direktion der Justiz und des Innern des Kantons Zürich mit Verfügung vom 17. Juni 2022 ab. Dagegen erhob A.________ am 24. Juni 2022 Beschwerde. Das Verwaltungsgericht des Kantons Zürich wies mit Urteil vom 10. November 2022 die Beschwerde ab, soweit es darauf eintrat.</w:t>
      </w:r>
    </w:p>
    <w:p>
      <w:r>
        <w:rPr>
          <w:b/>
        </w:rPr>
        <w:t>E. 2</w:t>
      </w:r>
    </w:p>
    <w:p>
      <w:r>
        <w:t>A.________ führt mit Eingabe vom 25. November 2022 Beschwerde in Strafsachen gegen das Urteil des Verwaltungsgerichts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setzt sich mit der Begründung des angefochtenen Urteils nicht auseinander. Mit seinen kaum verständlichen Ausführungen vermag er nicht im Einzelnen und konkret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