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1B_607/2020 vom 16. März 2021</w:t>
      </w:r>
    </w:p>
    <w:p>
      <w:r>
        <w:t>Bundesgericht, 2021-03-16, FR</w:t>
      </w:r>
    </w:p>
    <w:p>
      <w:r>
        <w:rPr>
          <w:b/>
        </w:rPr>
        <w:t xml:space="preserve">Quelle: </w:t>
      </w:r>
      <w:r>
        <w:t>https://mcp.opencaselaw.ch/entscheid/bger_1B_607_2020</w:t>
      </w:r>
    </w:p>
    <w:p>
      <w:r>
        <w:t>FR: TF 1B_607/2020 du 16 mars 2021</w:t>
      </w:r>
    </w:p>
    <w:p>
      <w:r>
        <w:t>IT: TF 1B_607/2020 del 16 marzo 2021</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(arrêt 1B_256/2020 du 17 novembre 2020 consid. 1 et les arrêts cités). Le recourant, dont les demandes de récusation ont été rejetées, a qualité pour recourir en vertu de l' art. 81 al. 1 LTF . Pour le surplus, le recours a été interjeté en temps utile (art. 45 al. 1 et 100 al. 1 LTF) contre une décision rendue en instance cantonale unique (art. 80 al. 2 in fine LTF) et les conclusions présentées sont recevables ( art. 107 al. 2 LTF ). Il y a donc lieu d'entrer en matière.</w:t>
      </w:r>
    </w:p>
    <w:p>
      <w:r>
        <w:rPr>
          <w:b/>
        </w:rPr>
        <w:t>E. 2</w:t>
      </w:r>
    </w:p>
    <w:p>
      <w:r>
        <w:t>Le recourant se plaint d'une violation de l' art. 56 let . f CPP. Il soutient en substance que ce serait l'accumulation et la multiplicité des actions portant atteintes à ses droits qui motiveraient ses demandes de récusation; ces griefs devraient être examinés dans leur ensemble et non pris isolément. Il se plaint également en substance d'une appréciation arbitraire des faits.</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143 IV 69 consid. 3.2 p. 74). Cet article du Code de procédure concrétise aussi les droits déduits de l' art. 29 al. 1 Cst. garantissant l'équité du procès et assure au justiciable cette protection lorsque d'autres autorités ou organes (cf. en particulier art. 12 CPP ) que des tribunaux (cf. art. 13 CPP ) sont concernés ( ATF 141 IV 178 consid. 3.2.2 p. 179 s.; arrêt 1B_395/2020 du 21 janvier 2021 consid. 7.1).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s.;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2.2</w:t>
      </w:r>
    </w:p>
    <w:p>
      <w:r>
        <w:t>Lors de son examen des différents griefs soulevés par le recourant, la cour cantonale a retenu que le défaut de mention au procès-verbal des opérations et de production des courriers électroniques de l'avocat F._______ du 29 mai 2020 - sollicitant en substance un entretien - et du 2 juin 2020 ne saurait être reproché à la Procureure intimée; le premier n'avait aucune incidence procédurale (cf. consid. 2.3.1 p. 13) et le second aucun contenu (cf. consid. 2.3.3 p. 15). S'agissant de la demande de la Procureure intimée tendant à l'envoi d'une copie de la plainte du 1er juin 2020 et de l'enregistrement audio litigieux - que ce soit auprès de l'avocat F._______ (cf. consid. 2.3.2 p. 13 ss) ou auprès des autorités genevoises (cf. consid. 2.3.5 p. 16) -, les Juges cantonaux ont considéré que cette requête s'expliquait par le for qui serait à l'évidence attribué aux autorités vaudoises pour instruire cette plainte, ainsi que par la possibilité pour le Ministère public et la police d'enquêter avant l'ouverture formelle d'une instruction (cf. consid. 2.3.2 p. 13 ss et consid. 2.3.5 p. 16); l'audition du 10 juin 2020 par la police du recourant entrait d'ailleurs dans le cadre de ces compétences (cf. consid. 2.3.6 p. 16 s.). La cour cantonale a ensuite relevé qu'au vu de la procédure pénale déjà ouverte contre le recourant pour brigandage et du principe de l'unité de procédure, il était usuel de verser dans le dossier existant la nouvelle plainte formée contre le recourant, configuration qui n'imposait donc pas le prononcé d'une ordonnance de jonction de cause (cf. consid. 2.3.6 p. 16 s.). L'autorité précédente a estimé qu'au regard de la connaissance par les défenseurs du recourant de l'autorité en charge de l'affaire du brigandage et du versement de la plainte du 30 juin 2020 formée par le recourant au dossier de la procédure PE18.002726 (cf. la mention y relative du 22 juillet 2020 p. 57 du procès-verbal des opérations), un avis de réception de cette écriture n'était pas nécessaire (cf. consid. 2.3.7 p. 18). Elle a enfin retenu que la mise en garde du 6 juillet 2020 était usuelle dès lors que le recourant était prévenu de menaces et qu'il ressortait clairement du courrier de la Procureure intimée qu'elle ne considérait pas les faits rapportés comme avérés (cf. consid. 2.3.8 p. 18).</w:t>
      </w:r>
    </w:p>
    <w:p>
      <w:r>
        <w:t>Selon la Chambre des recours pénale, il pouvait en revanche être reproché à la Procureure intimée d'avoir omis de faire inscrire au procès-verbal des opérations un entretien téléphonique avec le défenseur de C.________ le 29 mai 2020 (cf. consid. 2.3.2 p. 14), la réception de l'enregistrement audio litigieux produit par cet avocat le 2 juin 2020 (cf. consid. 2.3.3 p. 15) et, à tout le moins, sa transmission à la police (cf. consid. 2.3.4 p. 16). L'autorité précédente a cependant considéré qu'il ne s'agissait pas d'erreurs particulièrement lourdes ou répétées constitutives de violations graves des devoirs du magistrat, démontrant une activité partiale de la part de la Procureure intimée (cf. consid. 2.4 p. 18 s.). En effet, s'agissant de l'entretien téléphonique, la cour cantonale a relevé que le procès-verbal de l'audition-plainte de C.________ avait été versé au dossier le 5 juin 2020 (cf. la mention y relative en page 52 du procès-verbal des opérations); il paraissait également peu vraisemblable que la Procureure intimée ait, au cours de cette conversation, incité C.________ à déposer plainte pénale à Genève, même si celui-ci l'avait affirmé lors de son audition du 1er juin 2020 (cf. consid. 2.3.2 p. 14 s.). Quant à l'enregistrement audio, l'autorité précédente a en particulier retenu que le recourant et son mandataire en avaient pris connaissance lors de l'audition du 10 juin 2020, sans s'opposer à sa diffusion (cf. consid. 2.3.3 et 2.3.4 p. 15 s.).</w:t>
      </w:r>
    </w:p>
    <w:p>
      <w:r>
        <w:rPr>
          <w:b/>
        </w:rPr>
        <w:t>E. 2.3</w:t>
      </w:r>
    </w:p>
    <w:p>
      <w:r>
        <w:t>Ce raisonnement peut être confirmé. Le recourant ne développe d'ailleurs aucune argumentation propre à le remettre en cause. Il se limite en effet essentiellement à substituer pour l'ensemble des griefs évoqués sa propre appréciation des faits sans démontrer en quoi celle effectuée par l'autorité précédente serait arbitraire. Tel n'est notamment pas le cas des constatations de la cour cantonale en lien avec la personne à l'origine du dépôt de plainte de C.________ puisque la signature du policier sur le procès-verbal d'audition ne permet que d'attester des propos alors tenus, mais non pas de leur véracité. Il ne peut pas non plus être fait grief à la Procureure intimée de n'avoir pas considéré, à ce stade encore précoce de l'enquête et au vu des infractions dénoncées, que l'enregistrement audio litigieux constituerait d'emblée un moyen de preuve inexploitable; la jurisprudence permet en effet, à certains conditions, l'exploitation des enregistrements effectués par une personne privée (cf. arrêt 6B_1282/2019 du 13 novembre 2020 consid. 1.1 destiné à la publication). Par le biais de la procédure de récusation, le recourant ne saurait d'ailleurs obtenir le retrait du dossier pénal de cet enregistrement. Il ne peut pas non plus dans ce cadre remettre en cause l'absence d'ordonnance de jonction des procédures - dans la mesure où une telle décision aurait été nécessaire - et le refus de la Procureure intimée de disjoindre la procédure concernant le brigandage de celles relatives aux plaintes des 1eret 30 juin 2020, décision contre laquelle il n'a au demeurant pas recouru (cf. consid. 2.3.6 p. 17 de l'arrêt attaqué).</w:t>
      </w:r>
    </w:p>
    <w:p>
      <w:r>
        <w:t>Certes, ainsi que l'a retenu l'autorité précédente, le défaut de mention au procès-verbal des opérations ou de versement d'actes au dossier n'est pas dénué de toute critique. Cela étant et au regard des circonstances d'espèce, les omissions de la Procureure intimée ne constituent pas des erreurs lourdes ou répétées susceptibles d'entraîner sa récusation. Il apparaît en effet que ses actes tendaient avant tout à pouvoir disposer rapidement du dossier de la plainte du 1er juin 2020 sans attendre l'issue - a priori connue et non contestée par le recourant - de la reprise de for par les autorités vaudoises, ce qui ne prête pas le flanc à la critique. En effet, la loi permet des échanges au cours de la procédure de reprise de for (cf. art. 39 al. 2 CPP ) et donne des compétences notamment aux policiers, sur directives du Ministère public ou en raison de leurs propres constatations, pour procéder, le cas échéant, à des investigations préalablement à toute ouverture formelle d'instruction (cf. notamment les art. 300 al. 1 let. a, 306, 307 et 309 al. 1 let. a CPP; sur ces notions, voir arrêt 6B_290/2020 du 17 juillet 2020 consid. 2.2 et les arrêts cités), possibilités que le recourant ne remet pas en cause. Cela suffit pour expliquer les démarches entreprises par la Procureure intimée, ainsi que la tenue de l'audience du 10 juin 2020. En outre, s'agissant des éléments visés par les échanges litigieux, il doit également être pris en compte que la plainte pénale du 1er juin 2020 a été formellement versée le 5 suivant au dossier PE18.002726 et que l'enregistrement audio a été porté à la connaissance du recourant cinq jours plus tard, ce qui ne semble pas contraire au principe de célérité et/ou aux intérêts du recourant.</w:t>
      </w:r>
    </w:p>
    <w:p>
      <w:r>
        <w:rPr>
          <w:b/>
        </w:rPr>
        <w:t>E. 3</w:t>
      </w:r>
    </w:p>
    <w:p>
      <w:r>
        <w:t>Eu égard aux considérations précédentes permettant de confirmer sur le fond la décision attaquée, il n'y a pas de lieu d'examiner les griefs en lien avec la recevabilité en temps utile des demandes de récusation, dont celle du 17 août 2020 (cf. ad 2 p. 5 du recours).</w:t>
      </w:r>
    </w:p>
    <w:p>
      <w:r>
        <w:rPr>
          <w:b/>
        </w:rPr>
        <w:t>E. 4</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