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1B_602/2019 vom 5. Februar 2020</w:t>
      </w:r>
    </w:p>
    <w:p>
      <w:r>
        <w:t>Bundesgericht, 2020-02-05, FR</w:t>
      </w:r>
    </w:p>
    <w:p>
      <w:r>
        <w:rPr>
          <w:b/>
        </w:rPr>
        <w:t xml:space="preserve">Quelle: </w:t>
      </w:r>
      <w:r>
        <w:t>https://mcp.opencaselaw.ch/entscheid/bger_1B_602_2019</w:t>
      </w:r>
    </w:p>
    <w:p>
      <w:r>
        <w:t>FR: TF 1B_602/2019 du 5 février 2020</w:t>
      </w:r>
    </w:p>
    <w:p>
      <w:r>
        <w:t>IT: TF 1B_602/2019 del 5 febbraio 2020</w:t>
      </w:r>
    </w:p>
    <w:p>
      <w:pPr>
        <w:pStyle w:val="Heading2"/>
      </w:pPr>
      <w:r>
        <w:t>Erwägungen</w:t>
      </w:r>
    </w:p>
    <w:p>
      <w:r>
        <w:rPr>
          <w:b/>
        </w:rPr>
        <w:t>E. 1</w:t>
      </w:r>
    </w:p>
    <w:p>
      <w:r>
        <w:t>Le recours est dirigé contre une décision prise en dernière instance cantonale ( art. 80 LTF ), interdisant à un avocat de choix de représenter les trois recourants. Le recours est donc en principe recevable comme un recours en matière pénale au sens des art. 78 ss LTF .</w:t>
      </w:r>
    </w:p>
    <w:p>
      <w:r>
        <w:t>Le prononcé relatif à une interdiction de procéder constitue une décision incidente susceptible de causer un préjudice irréparable ( art. 93 al. 1 let. a LTF ) puisqu'il prive définitivement les recourants de pouvoir choisir leur avocat ( art. 127 al. 1 CPP ; arrêt 1B_510/2018 du 14 mars 2019 consid. 1 non publié in ATF 145 IV 218 ). Les recourants sont destinataires de la décision entreprise et ont un intérêt juridiquement protégé à son annulation ou sa modification ( art. 81 al. 1 let. a et b LTF ).</w:t>
      </w:r>
    </w:p>
    <w:p>
      <w:r>
        <w:t>Pour le surplus, le recours a été déposé en temps utile ( art. 100 al. 1 LTF ) et les conclusions prises sont recevables ( art. 107 al. 2 LTF ). Partant, il y a lieu d'entrer en matière.</w:t>
      </w:r>
    </w:p>
    <w:p>
      <w:r>
        <w:rPr>
          <w:b/>
        </w:rPr>
        <w:t>E. 2</w:t>
      </w:r>
    </w:p>
    <w:p>
      <w:r>
        <w:t>Les recourants relèvent que la représentation de plusieurs prévenus par le même avocat est expressément prévue à l' art. 127 al. 3 CPP et qu'une interdiction de représenter devrait se fonder sur un risque concret de conflit d'intérêts. L'arrêt attaqué n'invoquerait qu'une simple probabilité de conflit, ce qui ne constituerait pas un motif suffisant, sauf à vider l' art. 127 al. 3 CPP de toute substance.</w:t>
      </w:r>
    </w:p>
    <w:p>
      <w:r>
        <w:rPr>
          <w:b/>
        </w:rPr>
        <w:t>E. 2.1</w:t>
      </w:r>
    </w:p>
    <w:p>
      <w:r>
        <w:t>Selon l' art. 127 al. 3 CPP , dans les limites de la loi et des règles de la profession, un conseil juridique peut défendre les intérêts de plusieurs participants à la même procédure. Ce droit à une défense simultanée est limité notamment par les règles de la loi sur la libre circulation des avocats (LLCA, RS 935.61). L' art. 12 let . c LLCA prescrit en effet à l'avocat d'éviter tout conflit entre les intérêts de son client et ceux des personnes avec lesquelles il est en relation sur le plan professionnel ou privé. Cette règle est en lien avec la clause générale de l' art. 12 let. a LLCA , selon laquelle l'avocat exerce sa profession avec soin et diligence, de même qu'avec l'obligation d'indépendance rappelée à l' art. 12 let. b LLCA ( ATF 141 IV 257 consid. 2.1 p. 260; 134 II 108 consid. 3 p. 109 s.). Elle doit également être abordée en relation avec l' art. 13 LLCA qui a trait au secret professionnel de l'avocat ( ATF 145 IV 218 consid. 2.1 p. 221 s.). L'avocat a notamment le devoir d'éviter la double (ou multiple) représentation, c'est-à-dire le cas où il serait amené à défendre les intérêts opposés de deux (ou plusieurs) parties à la fois, car il n'est alors plus en mesure de respecter pleinement son obligation de fidélité et son devoir de diligence envers chacun de ses clients ( ATF 145 IV 218 consid. 2.1 p. 221; 141 IV 257 consid. 2.1 p. 260).</w:t>
      </w:r>
    </w:p>
    <w:p>
      <w:r>
        <w:t>Ces règles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ATF 141 IV 257 consid. 2.1 p. 260). Le risque de conflit doit toutefois être concret, faute de quoi le principe même d'une représentation multiple, pourtant admis par la loi, serait remis en cause (cf. HARARI, in: Jeanneret/Kuhn/Perrier Depeursinge, Commentaire romand CPP, 2ème éd. 2019, n° 40 ad art. 127). Un risque purement abstrait ou théorique (inhérent à toute représentation multiple) ne suffit donc pas pour justifier une interdiction de représentation ( ATF 145 IV 218 consid. 2.1 p. 221-223).</w:t>
      </w:r>
    </w:p>
    <w:p>
      <w:r>
        <w:rPr>
          <w:b/>
        </w:rPr>
        <w:t>E. 2.2</w:t>
      </w:r>
    </w:p>
    <w:p>
      <w:r>
        <w:t>Dans sa décision du 8 octobre 2019, la Présidente du Tribunal correctionnel considère que même si la version des prévenus est jusqu'ici identique et consiste à contester en bloc la commission d'une escroquerie par métier, on ne peut exclure que les intérêts des prévenus en viennent à diverger en fonction des éléments que pourrait révéler l'instruction aux débats. En soi, une telle motivation ne serait pas suffisante puisqu'elle ne fait état que d'un risque abstrait. La décision du 8 octobre 2019 ajoute cependant que, compte tenu de la position respective des prévenus au sein des entités concernées, le comportement de chacun d'eux devra être élucidé, de sorte qu'il est possible que leur conseil soit amené à devoir conseiller à l'un d'eux de modifier sa version des faits au détriment des autres. Il apparaît en effet à la lecture de l'acte d'accusation que les deux parents ont créé puis transformé les sociétés impliquées et en détiennent l'intégralité du capital. La fille occuperait quant à elle une fonction dirigeante depuis 2008 seulement. La répartition des rôles dans tout le processus décrit (par exemple dans la conception, le recrutement et formation du personnel, la fourniture de la marchandise, la répartition des bénéfices) doit par ailleurs encore être établie et il se pourrait que cette répartition soit inégale ou ait évolué au fil du temps. Il est donc probable qu'en cas d'admission de la thèse de l'accusation, l'un ou l'autre des prévenus ne soit tenté de minimiser sa participation ou de charger ses co-prévenus. Le risque est d'autant plus évident que l'avocat ne représente pas deux prévenus, mais trois. Dans ces circonstances, le risque de conflit d'intérêts peut être qualifié de concret.</w:t>
      </w:r>
    </w:p>
    <w:p>
      <w:r>
        <w:rPr>
          <w:b/>
        </w:rPr>
        <w:t>E. 3</w:t>
      </w:r>
    </w:p>
    <w:p>
      <w:r>
        <w:t>Sur le vu de ce qui précède, le recours est rejeté.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