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1B_601/2020 vom 2. Dezember 2020</w:t>
      </w:r>
    </w:p>
    <w:p>
      <w:r>
        <w:t>Bundesgericht, 2020-12-02, DE</w:t>
      </w:r>
    </w:p>
    <w:p>
      <w:r>
        <w:rPr>
          <w:b/>
        </w:rPr>
        <w:t xml:space="preserve">Quelle: </w:t>
      </w:r>
      <w:r>
        <w:t>https://mcp.opencaselaw.ch/entscheid/bger_1B_601_2020</w:t>
      </w:r>
    </w:p>
    <w:p>
      <w:r>
        <w:t>FR: TF 1B_601/2020 du 2 décembre 2020</w:t>
      </w:r>
    </w:p>
    <w:p>
      <w:r>
        <w:t>IT: TF 1B_601/2020 del 2 dicembre 2020</w:t>
      </w:r>
    </w:p>
    <w:p>
      <w:pPr>
        <w:pStyle w:val="Heading2"/>
      </w:pPr>
      <w:r>
        <w:t>Erwägungen</w:t>
      </w:r>
    </w:p>
    <w:p>
      <w:r>
        <w:rPr>
          <w:b/>
        </w:rPr>
        <w:t>E. 1</w:t>
      </w:r>
    </w:p>
    <w:p>
      <w:r>
        <w:t>Mit Strafbefehl vom 6. April 2020 erklärte die Staatsanwaltschaft Abteilung 1 Luzern A.________ des Nichtgewährens des Vortritts mit Personenwagen beim Linksabbiegen schuldig und verurteilte ihn zu einer bedingten Geldstrafe von 20 Tagessätzen zu je Fr. 30.-- und zu einer Busse von Fr. 100.--. Dagegen erhob A.________ am 26. April 2020 Einsprache und ersuchte um Einsetzung einer amtlichen Verteidigung. Die Staatsanwaltschaft Abteilung 1 Luzern wies das Gesuch mit Verfügung vom 17. Juli 2020 ab. Dagegen erhob A.________ am 7. August 2020 Beschwerde, welche das Kantonsgericht Luzern mit Beschluss vom 12. Oktober 2020 abwies, soweit es darauf eintrat. Zur Begründung führte es zusammenfassend aus, dass es sich aufgrund der ausgesprochenen Strafe um einen Bagatellfall handle. Der beanzeigte Vorwurf sei recht einfach und klar und biete keine Schwierigkeiten in rechtlicher Hinsicht. Der Beschuldigte verstehe als deutscher Staatsangehöriger die deutsche Sprache und sei in der Lage, sich mit dem Strafverfahren auseinanderzusetzen bzw. sich im Strafverfahren selber zu verteidigen.</w:t>
      </w:r>
    </w:p>
    <w:p>
      <w:r>
        <w:rPr>
          <w:b/>
        </w:rPr>
        <w:t>E. 2</w:t>
      </w:r>
    </w:p>
    <w:p>
      <w:r>
        <w:t>A.________ führt mit Eingabe vom 26. November 2020 Beschwerde in Strafsachen gegen den Beschluss des Kantonsgerichts Luzern vom 12. Oktober 2020.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Das Kantonsgericht legte dem Beschwerdeführer ausführlich dar, weshalb eine Verteidigung zur Wahrung seiner Interessen nicht geboten sei. Mit diesen Ausführungen setzt sich der Beschwerdeführer nicht rechtsgenüglich auseinander und vermag nicht im Einzelnen und konkret aufzuzeigen, inwiefern die Begründung des Kantonsgerichts bzw. dessen Beschluss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