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600/2019 vom 17. Januar 2020</w:t>
      </w:r>
    </w:p>
    <w:p>
      <w:r>
        <w:t>Bundesgericht, 2020-01-17, FR</w:t>
      </w:r>
    </w:p>
    <w:p>
      <w:r>
        <w:rPr>
          <w:b/>
        </w:rPr>
        <w:t xml:space="preserve">Quelle: </w:t>
      </w:r>
      <w:r>
        <w:t>https://mcp.opencaselaw.ch/entscheid/bger_1B_600_2019</w:t>
      </w:r>
    </w:p>
    <w:p>
      <w:r>
        <w:t>FR: TF 1B 600/2019 du 17 janvier 2020</w:t>
      </w:r>
    </w:p>
    <w:p>
      <w:r>
        <w:t>IT: TF 1B 600/2019 del 17 gennaio 2020</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(arrêt 1B_362/2019 du 17 septembre 2019 consid. 1, destiné à la publication). Si le maintien en détention repose actuellement sur l'ordonnance du 9 janvier 2020 du Tmc - qui prolonge temporairement la détention jusqu'à ce qu'il soit statué sur la requête de prolongation formée le même jour par le Ministère public -, le recourant, prévenu détenu, conserve un intérêt juridique à la vérification de la décision attaquée qui confirme la prolongation de sa détention provisoire (art. 81 al. 1 let. a et b ch. 1 LTF; arrêt 1B_184/2019 du 9 mai 2019 consid. 1) Au surplus,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Une mesure de détention provisoire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 En tout état de cause, la détention avant jugement ne doit pas durer plus longtemps que la peine privative de liberté prévisible ( art. 212 al. 3 CPP ).</w:t>
      </w:r>
    </w:p>
    <w:p>
      <w:r>
        <w:rPr>
          <w:b/>
        </w:rPr>
        <w:t>E. 3</w:t>
      </w:r>
    </w:p>
    <w:p>
      <w:r>
        <w:t>Le recourant conteste l'existence de soupçons suffisants à son encontre tant en ce qui concerne son implication dans le décès de B.________ que dans les actes commis au préjudice de C.________.</w:t>
      </w:r>
    </w:p>
    <w:p>
      <w:r>
        <w:rPr>
          <w:b/>
        </w:rPr>
        <w:t>E. 3.1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s.; 143 IV 316 consid. 3.1 et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1B_219/2019 du 4 juin 2019 consid. 2.1).</w:t>
      </w:r>
    </w:p>
    <w:p>
      <w:r>
        <w:rPr>
          <w:b/>
        </w:rPr>
        <w:t>E. 3.2.1</w:t>
      </w:r>
    </w:p>
    <w:p>
      <w:r>
        <w:t>En l'espèce, il ressort de l'ordonnance du Tmc du 18 novembre 2019 - à laquelle l'arrêt entrepris paraît se référer sur ce point - que les agents de police ont retrouvé le corps inanimé de B.________ après avoir été dépêchés sur place, le 14 septembre 2019 vers 23 heures 30, à la suite d'un appel téléphonique du recourant leur annonçant que sa compagne était morte et leur demandant de "venir vite". Selon les deux agents intervenus en premier sur les lieux, le recourant aurait alors affirmé en substance qu'il s'était "bagarré" avec sa compagne et que celle-ci s'était cognée contre un mur après qu'il l'avait poussée (cf. ordonnance du Tmc du 18 novembre 2019, p. 3 s.). Certes, le recourant paraît maintenant contester les explications données à la police lors de son intervention initiale, affirmant avoir retrouvé le corps de la victime couché entre le lit et le mur de la chambre à coucher après que celle-ci avait tenté de l'agresser au moyen d'un couteau. Il n'en demeure pas moins que l'autopsie, si elle n'avait pas permis d'établir la cause du décès, avait relevé un certain nombre de lésions traumatiques d'aspect récent sur la tête et la nuque de la victime. Le recourant avait en outre admis qu'il s'était disputé plusieurs fois avec sa compagne avant son décès, également le soir du 14 septembre 2019, pour des futilités. L'existence d'une dispute pouvait aussi être déduite des déclarations des voisins: ainsi, selon F.________, le couple se disputait verbalement en moyenne deux à trois soirs par semaine, ce voisin ayant par ailleurs affirmé avoir entendu, le soir en question, vers 22 heures 30, les cris désespérés d'un homme. Quant au voisin G.________, il avait entendu, en provenance de l'appartement du recourant, un bruit, "comme un coup", et tout de suite après, un autre bruit faisant penser à "quelqu'un qui tombe par terre et qui renverse quelque chose". Peu après, le recourant aurait appelé à l'aide (cf. ordonnance du Tmc du 18 novembre 2019, p. 3 s.). A cela s'ajoute que, selon les déclarations du recourant, le couple aurait consommé une quantité importante d'alcool le soir des faits, le recourant ayant par ailleurs consommé plusieurs médicaments en raison d'une hernie discale, dont un opioïde (tramadol). Par ailleurs, les analyses des échantillons biologiques prélevés sur le corps de la victime (vagin, anus et main droite) avaient démontré la présence de sperme provenant d'un autre homme que le recourant. Cette circonstance, couplée avec la découverte d'argent en possession de la victime d'une provenance inexpliquée, pouvait laisser penser qu'elle entretenait des relations, éventuellement tarifées, avec d'autres hommes, ce qui aurait pu nourrir le ressentiment du recourant et constituer une cause des violentes disputes du couple (cf. ordonnance du Tmc du 18 novembre 2019, p. 3 s.). Avec la cour cantonale, il faut admettre que ces différents éléments permettent de fonder des charges suffisantes à l'égard du recourant, lequel est soupçonné d'avoir causé, en raison de coups qu'il lui aurait portés, la mort de sa compagne B.________.</w:t>
      </w:r>
    </w:p>
    <w:p>
      <w:r>
        <w:rPr>
          <w:b/>
        </w:rPr>
        <w:t>E. 3.2.2</w:t>
      </w:r>
    </w:p>
    <w:p>
      <w:r>
        <w:t>S'agissant des accusations portant sur la commission d'infractions au préjudice de l'intégrité sexuelle de C.________, il apparaît qu'avant d'avoir reconnu le recourant en raison d'une photographie publiée dans la presse brésilienne et de l'avoir dénoncé à la police, celle-ci aurait déjà évoqué précédemment, à son ancien petit-ami H.________ ainsi qu'à sa meilleure amie I.________, avoir été abusée sexuellement étant enfant, alors qu'elle se trouvait chez D.________, son amie de l'époque (cf. procès-verbaux d'audition de H.________ du 25 octobre 2019, p. 3; de I.________ du 28 octobre 2019, p. 3 s.). Au printemps 2019, C.________ se serait également confiée à ses parents ainsi qu'à sa soeur J.________, cette dernière ayant expliqué à la police que ces actes pourraient être à l'origine de la "dégringolade" scolaire subie par C.________ entre la fin de l'école primaire et son entrée au cycle d'orientation, soit à l'époque des faits dénoncés, celle-ci étant suivie depuis lors par un "psy" (cf. procès-verbal d'audition de J.________ du 14 novembre 2019, p. 3 s.). Malgré l'absence d'antécédents en la matière, et si des zones d'ombre subsistent quant aux circonstances des faits dénoncés qui se sont déroulés il y a plus de 10 ans, notamment quant à la nature exacte des attouchements et quant à la présence ou non d'autres enfants dans la chambre, les éléments précités permettent néanmoins, à ce stade relativement précoce de l'enquête, de faire état de charges suffisantes concernant les actes dénoncés par C.________. Le Ministère public envisage certes de soumettre la plaignante à une expertise de crédibilité. A elle seule, cette circonstance ne permet toutefois pas de s'écarter, au stade de la détention avant jugement, de l'appréciation de la cour cantonale, fondée sur les éléments rappelés ci-dessus.</w:t>
      </w:r>
    </w:p>
    <w:p>
      <w:r>
        <w:rPr>
          <w:b/>
        </w:rPr>
        <w:t>E. 4</w:t>
      </w:r>
    </w:p>
    <w:p>
      <w:r>
        <w:t>Le recourant conteste l'existence d'un risque de collusion.</w:t>
      </w:r>
    </w:p>
    <w:p>
      <w:r>
        <w:rPr>
          <w:b/>
        </w:rPr>
        <w:t>E. 4.1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w:t>
      </w:r>
    </w:p>
    <w:p>
      <w:r>
        <w:rPr>
          <w:b/>
        </w:rPr>
        <w:t>E. 4.2</w:t>
      </w:r>
    </w:p>
    <w:p>
      <w:r>
        <w:t>En substance, la cour cantonale a relevé qu'en l'absence de témoin direct des faits, les déclarations des personnes interrogées au sujet des relations entre le recourant et B.________ pourraient avoir une importance décisive au moment d'établir les faits pertinents. A cet égard, si le Ministère public avait déjà mené de nombreuses auditions de témoins, issus tant de l'entourage du recourant que de celui de sa compagne décédée, les auditions menées à ce stade faisaient état de versions différentes au sujet des relations entre les précités. Il était ainsi nécessaire que l'instruction se poursuive sereinement en évitant toute potentielle intervention du recourant, qui pourrait être tenté, compte tenu de l'enjeu de la procédure, de contacter des personnes qui n'avaient pas encore été entendues. Il fallait également prendre en considération dans ce contexte que le recourant avait pour habitude de fréquenter avec B.________ différents établissements publics, occasionnant des rencontres avec de nombreuses personnes, pas toutes identifiées, qui pourraient fournir des éléments pertinents concernant l'attitude des intéressés à l'occasion de leurs sorties, lors desquelles ils auraient parfois, dans un état d'alcoolisation, adopté des comportements agressifs entre eux (cf. arrêt entrepris, consid. 5.3 p. 10). Les circonstances d'espèce sont propres à dénoter, en l'état de la procédure, un risque de collusion suffisamment concret et sérieux. En effet, compte tenu de la gravité des actes reprochés au recourant, il convient de porter une attention particulière à préserver l'enquête de toute possible interférence du recourant, qui a jusqu'alors présenté des versions contradictoires quant au déroulement des événements du 14 septembre 2019, en particulier quant aux circonstances de la dispute qui serait survenue ce soir-là. Il ressort à cet égard du mémoire de recours du Ministère public adressé le 18 novembre 2019 à la cour cantonale que diverses mesures d'instruction étaient encore prévues. Outre des analyses médico-légales complémentaires, ces mesures avaient trait à une reconstitution des faits et aux auditions de diverses personnes qui n'avaient encore pas pu être interrogées, dont celles d'un ex-compagnon de la victime se trouvant alors à l'étranger ainsi que d'un ami du recourant, qui aurait violemment poussé la victime dans des escaliers en 2018.</w:t>
      </w:r>
    </w:p>
    <w:p>
      <w:r>
        <w:rPr>
          <w:b/>
        </w:rPr>
        <w:t>E. 4.3</w:t>
      </w:r>
    </w:p>
    <w:p>
      <w:r>
        <w:t>En l'état, on peut parvenir à la même conclusion quant au caractère sérieux et concret du risque de collusion retenu par la cour cantonale dans le volet "actes d'ordre sexuel" de l'enquête, dont les faits sont intégralement contestés par le recourant. A cet égard, il faut prendre en considération que, même si l'enquête semble avancer de manière diligente, elle se trouve encore à un stade relativement peu avancé, diverses personnes, notamment les membres de l'encadrement scolaire de C.________ au moment des faits, devant être interrogées. Ainsi, au vu de la fragilité psychologique de la victime - dont une seconde audition est prévue - et de la gravité des faits qu'elle reproche au recourant, il apparaît opportun de se montrer particulièrement prudent, les témoignages à réaliser devant être préservés tant que possible de toute ingérence, même indirecte, du recourant.</w:t>
      </w:r>
    </w:p>
    <w:p>
      <w:r>
        <w:rPr>
          <w:b/>
        </w:rPr>
        <w:t>E. 4.4</w:t>
      </w:r>
    </w:p>
    <w:p>
      <w:r>
        <w:t>Le maintien de la détention du recourant jusqu'au 13 janvier 2020 étant justifié par un risque de collusion, il n'y a pas lieu d'examiner si cette mesure s'imposait aussi en raison d'un risque de fuite au sens de l' art. 221 al. 1 let. a CPP . Cela étant, en particulier compte tenu de l'avancement de l'enquête, il appartiendra au juge de la détention de mentionner à l'avenir de manière plus précise les circonstances justifiant la persistance d'un risque de collusion ou, le cas échéant, d'un risque de fuite.</w:t>
      </w:r>
    </w:p>
    <w:p>
      <w:r>
        <w:rPr>
          <w:b/>
        </w:rPr>
        <w:t>E. 5</w:t>
      </w:r>
    </w:p>
    <w:p>
      <w:r>
        <w:t>Le recourant fait encore valoir que les conditions du prononcé de mesures de substitution étaient réunies.</w:t>
      </w:r>
    </w:p>
    <w:p>
      <w:r>
        <w:rPr>
          <w:b/>
        </w:rPr>
        <w:t>E. 5.1</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saisie des documents d'identité (let. b), l'assignation à résidence (let. c), et l'interdiction d'entretenir des relations avec certaines personnes (let. g).</w:t>
      </w:r>
    </w:p>
    <w:p>
      <w:r>
        <w:rPr>
          <w:b/>
        </w:rPr>
        <w:t>E. 5.2</w:t>
      </w:r>
    </w:p>
    <w:p>
      <w:r>
        <w:t>Les mesures de substitution proposées par le recourant, sous la forme notamment d'une saisie des documents d'identité et d'obligations de résider en un lieu déterminé, de trouver un emploi et de se soumettre à des contrôles par la police, sont insuffisantes au regard de la nature du risque de collusion constaté. Une éventuelle interdiction de contact paraît du reste particulièrement difficile à contrôler au regard du nombre de personnes potentiellement concernées et ne permet pas, en l'état, de pallier le risque d'atteinte à la recherche de la vérité. Enfin, du point de vue temporel, au vu de la gravité des infractions pour lesquelles le recourant a été mis en prévention et de la durée de la détention provisoire déjà subie, le principe de la proportionnalité demeure respecté.</w:t>
      </w:r>
    </w:p>
    <w:p>
      <w:r>
        <w:rPr>
          <w:b/>
        </w:rPr>
        <w:t>E. 6</w:t>
      </w:r>
    </w:p>
    <w:p>
      <w:r>
        <w:t>Le recours doit par conséquent être rejeté. Les conditions posées à l' art. 64 al. 1 LTF étant réunies, il convient de mettre le recourant au bénéfice de l'assistance judiciaire, de lui désigner Me Elias Moussa comme avocat d'office et d'allouer à celui-ci une indemnité à titre d'honoraires, qui sera fixée forfaitairement et supportée par la caisse du Tribunal fédéral. Il n'est pas perçu de frais judiciaires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