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1B_59/2023 vom 16. Februar 2023</w:t>
      </w:r>
    </w:p>
    <w:p>
      <w:r>
        <w:t>Bundesgericht, 2023-02-16, DE</w:t>
      </w:r>
    </w:p>
    <w:p>
      <w:r>
        <w:rPr>
          <w:b/>
        </w:rPr>
        <w:t xml:space="preserve">Quelle: </w:t>
      </w:r>
      <w:r>
        <w:t>https://mcp.opencaselaw.ch/entscheid/bger_1B_59_2023</w:t>
      </w:r>
    </w:p>
    <w:p>
      <w:r>
        <w:t>FR: TF 1B_59/2023 du 16 février 2023</w:t>
      </w:r>
    </w:p>
    <w:p>
      <w:r>
        <w:t>IT: TF 1B_59/2023 del 16 febbraio 2023</w:t>
      </w:r>
    </w:p>
    <w:p>
      <w:pPr>
        <w:pStyle w:val="Heading2"/>
      </w:pPr>
      <w:r>
        <w:t>Erwägungen</w:t>
      </w:r>
    </w:p>
    <w:p>
      <w:r>
        <w:rPr>
          <w:b/>
        </w:rPr>
        <w:t>E. 1</w:t>
      </w:r>
    </w:p>
    <w:p>
      <w:r>
        <w:t>Die Staatsanwaltschaft Zürich-Sihl verfügte am 21. November 2022 die Nichtanhandnahme einer Strafuntersuchung gegen B.________ betreffend Amtsmissbrauch. Die Privatklägerin A.________ erhob dagegen mit einer englischsprachigen Eingabe vom 5. Dezember 2022 Beschwerde. Die III. Strafkammer des Obergerichts des Kantons Zürich forderte mit Verfügung vom 29. Dezember 2022A.________ auf, innert 30 Tagen eine Prozesskaution im Sinne von Art. 383 StPO von Fr. 1'800.-- zu leisten, ansonsten auf die Beschwerde nicht eingetreten werde. Ausserdem müsse sie innert gleicher Frist eine deutschsprachige Beschwerdeschrift einreichen und die englischsprachigen Beschwerdebeilagen übersetzen (soweit auf eine Neueinreichung dieser Beilagen nicht verzichtet werde).</w:t>
      </w:r>
    </w:p>
    <w:p>
      <w:r>
        <w:rPr>
          <w:b/>
        </w:rPr>
        <w:t>E. 2</w:t>
      </w:r>
    </w:p>
    <w:p>
      <w:r>
        <w:t>Mit Eingabe vom 31. Januar 2023 führt A.________ Beschwerde in Strafsachen gegen die Verfügung der III. Strafkammer Obergerichts des Kantons Zürich vom 29. Dezember 2022.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der Beschwerdeführerin namentlich darzulegen, inwiefern der angefochtene Entscheid gegen Grundrechte verstossen soll.</w:t>
      </w:r>
    </w:p>
    <w:p>
      <w:r>
        <w:t>Die Eingabe der Beschwerdeführerin ist nur schwer verständlich. Aus ihren Ausführungen ist denn auch nicht ersichtlich, inwiefern die Auferlegung einer Prozesskaution oder die Aufforderung zur Einreichung einer deutschsprachigen Beschwerdeschrift rechtswidrig sein soll. Sie setzt sich insoweit überhaupt nicht mit der Begründung der III. Strafkammer auseinander. Ebenfalls unbegründet bzw. den gesetzlichen Begründungsanforderungen nicht entsprechend bleibt der Befangenheitsvorwurf gegen den Präsidenten der III. Strafkammer, der die angefochtene Verfügung unterschrieben hat. Allein der Umstand, dass Oberrichter Flury offenbar bereits in früheren Verfahren gegen die Beschwerdeführerin entschieden hatte, bildet keinen Ausstandsgrund. Zusammenfassend ergibt sich aus der nicht immer sachbezogenen Beschwerde nicht,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