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1B_598/2012 vom 11. Dezember 2012</w:t>
      </w:r>
    </w:p>
    <w:p>
      <w:r>
        <w:t>Bundesgericht, 2012-12-11, DE</w:t>
      </w:r>
    </w:p>
    <w:p>
      <w:r>
        <w:rPr>
          <w:b/>
        </w:rPr>
        <w:t xml:space="preserve">Quelle: </w:t>
      </w:r>
      <w:r>
        <w:t>https://mcp.opencaselaw.ch/entscheid/bger_1B_598_2012</w:t>
      </w:r>
    </w:p>
    <w:p>
      <w:r>
        <w:t>FR: TF 1B_598/2012 du 11 décembre 2012</w:t>
      </w:r>
    </w:p>
    <w:p>
      <w:r>
        <w:t>IT: TF 1B_598/2012 del 11 dicembre 2012</w:t>
      </w:r>
    </w:p>
    <w:p>
      <w:pPr>
        <w:pStyle w:val="Heading2"/>
      </w:pPr>
      <w:r>
        <w:t>Erwägungen</w:t>
      </w:r>
    </w:p>
    <w:p>
      <w:r>
        <w:rPr>
          <w:b/>
        </w:rPr>
        <w:t>E. 1</w:t>
      </w:r>
    </w:p>
    <w:p>
      <w:r>
        <w:t>Angefochten ist ein letztinstanzlicher (vgl. Art. 59 Abs. 1 StPO [SR 312.0]) kantonaler Entscheid über ein Ausstandsbegehren. Dagegen ist die Beschwerde in Strafsachen zulässig (vgl. Art. 78 Abs. 1, Art. 80 Abs. 1 und Art. 92 Abs. 1 BGG ). Als Beschuldigter ist der Beschwerdeführer zur Beschwerde berechtigt (vgl. Art. 81 Abs. 1 lit. a und b BGG ). Die übrigen Sachurteilsvoraussetzungen geben zu keinen Bemerkungen Anlass. Auf die Beschwerde ist grundsätzlich einzutreten.</w:t>
      </w:r>
    </w:p>
    <w:p>
      <w:r>
        <w:rPr>
          <w:b/>
        </w:rPr>
        <w:t>E. 2</w:t>
      </w:r>
    </w:p>
    <w:p>
      <w:r>
        <w:t>Gegenstand des vorliegenden Verfahrens bildet einzig der angefochtene Entscheid und damit die Frage, ob die Vorinstanz das Ausstandsgesuch des Beschwerdeführers als unbegründet abweisen durfte. Das vom Beschwerdeführer vor Bundesgericht gestellte Begehren, es seien sämtliche bisherigen Verfahrenshandlungen aufzuheben und zu wiederholen, liegt ausserhalb des durch den angefochtenen Entscheid begrenzten Streitgegenstands. Insoweit ist auf die Beschwerde nicht einzutreten.</w:t>
      </w:r>
    </w:p>
    <w:p>
      <w:r>
        <w:rPr>
          <w:b/>
        </w:rPr>
        <w:t>E. 3</w:t>
      </w:r>
    </w:p>
    <w:p>
      <w:r>
        <w:t>Der Beschwerdeführer rügt, der angefochtene Entscheid verletze Art. 6 Abs. 2 und Art. 56 StPO sowie Art. 29 Abs. 1 BV .</w:t>
      </w:r>
    </w:p>
    <w:p>
      <w:r>
        <w:rPr>
          <w:b/>
        </w:rPr>
        <w:t>E. 3.1</w:t>
      </w:r>
    </w:p>
    <w:p>
      <w:r>
        <w:t>Nach Art. 56 StPO hat eine in einer Strafbehörde tätige Person in den Ausstand zu treten, wenn ein ein Ausstandsgrund gemäss lit. a-f vorliegt. Hinsichtlich der Staatsanwaltschaft in ihrer Funktion als Strafuntersuchungs- und Anklagebehörde konkretisiert Art. 56 StPO den in Art. 29 Abs. 1 BV verankerten Anspruch jeder Person auf ein faires Verfahren vor Gerichts- und Verwaltungsinstanzen. Die Garantie ist verletzt, wenn bei objektiver Betrachtungsweise Gegebenheiten vorliegen, die den Anschein der Befangenheit und die Gefahr der Voreingenommenheit zu begründen vermögen.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 BGE 138 IV 142 E. 2.1 S. 144 f. ; 137 I 227 E. 2.1 S. 229; je mit Hinweisen). Vom Staatsanwalt als Untersuchungs- und Anklagebehörde ist Sachlichkeit, Unbefangenheit und Objektivität namentlich insofern zu erwarten, als er sich vor Abschluss der Untersuchung grundsätzlich nicht darauf festlegen darf, dass dem Beschuldigten ein strafbares Verhalten zur Last zu legen sei. Auch hat er den entlastenden Indizien und Beweismitteln ebenso Rechnung zu tragen wie den belastenden ( Art. 6 Abs. 2 StPO ; BGE 127 I 196 E. 2d S. 199).</w:t>
      </w:r>
    </w:p>
    <w:p>
      <w:r>
        <w:rPr>
          <w:b/>
        </w:rPr>
        <w:t>E. 3.2</w:t>
      </w:r>
    </w:p>
    <w:p>
      <w:r>
        <w:t>Der Beschwerdeführer beruft sich auf Art. 56 lit. f StPO , wonach eine in einer Strafbehörde tätige Person in Ausstand zu treten hat, wenn sie aus anderen als den in lit. a-e genannten Gründen, insbesondere wegen Freundschaft (vgl. auch den französischen Gesetzestext: "un rapport d'amitié étroit") oder Feindschaft mit einer Partei oder deren Rechtsbeistand, befangen sein könnte. Der Beschwerdeführer macht geltend, die das Strafverfahren leitende Staatsanwältin arbeite in der gleichen Abteilung wie der an der Auseinandersetzung vom 3. Juni 2012 beteiligte Staatsanwalt, welcher sich im Strafverfahren als Privatkläger konstituiert habe. Aufgrund der beruflichen Nähe zwischen der das Strafverfahren leitenden Staatsanwältin und der als Privatkläger beteiligten Person sei die Unabhängigkeit der Staatsanwältin in Frage zu stellen. Dass zwischen diesen beiden Personen eine über das Berufsverhältnis hinausgehende Freundschaft bestehe, könne nicht nachgewiesen werden. Schon aufgrund der engen beruflichen Verbindung lägen aber Umstände vor, die bei objektiver Betrachtung den Anschein der Befangenheit erwecken würden.</w:t>
      </w:r>
    </w:p>
    <w:p>
      <w:r>
        <w:rPr>
          <w:b/>
        </w:rPr>
        <w:t>E. 3.3</w:t>
      </w:r>
    </w:p>
    <w:p>
      <w:r>
        <w:t>Ein kollegiales Verhältnis bzw. die berufliche Beziehung zwischen der in der Strafbehörde tätigen Person und einer Verfahrenspartei oder deren Rechtsbeistand begründen noch keinen Ausstandsgrund, sofern keine weiteren, konkreten Umstände auf mangelnde Unvoreingenommenheit schliessen lassen (vgl. ANDREAS J. KELLER, in: Donatsch/ Hansjakob/Lieber, Kommentar zur Schweizerischen Strafprozessordnung, 2010, N. 26 zu Art. 56). Wie die Vorinstanz zu Recht festgehalten hat, vermag bei objektiver Betrachtung allein der Umstand, dass sowohl die das Strafverfahren leitende Staatsanwältin als auch die als Privatkläger am Strafverfahren beteiligte Person in der allgemeinen Abteilung der Staatsanwaltschaft Basel-Stadt beschäftigt sind, den Anschein der Befangenheit und Voreingenommenheit nicht zu erwecken. Dass zwischen diesen beiden Personen eine über das Arbeitsverhältnis hinausgehende freundschaftliche Beziehung besteht, wird vom Beschwerdeführer nicht dargetan. Auch sonst sind keine Gründe ersichtlich, die bei objektiver Betrachtungsweise den Anschein der Befangenheit erwecken könnten. Unter diesen Umständen darf von der das Strafverfahren führenden Staatsanwältin erwartet werden, dass sie sich vor Abschluss der Untersuchung grundsätzlich nicht darauf festlegt, dem Beschuldigten sei ein strafbares Verhalten zur Last zu legen, und dass sie den entlastenden Indizien und Beweismitteln ebenso Rechnung trägt wie den belastenden. Daran, dass bei objektiver Betrachtungsweise keine Gegebenheiten vorliegen, die den Anschein der Befangenheit zu begründen vermögen, ändert auch der Einwand des Beschwerdeführers nichts, die das Strafverfahren leitende Staatsanwältin sei indirekt mitverantwortlich dafür, ob und wie ihr Berufskollege mit seinen Zivilforderungen im Strafprozess durchdringen werde.</w:t>
      </w:r>
    </w:p>
    <w:p>
      <w:r>
        <w:rPr>
          <w:b/>
        </w:rPr>
        <w:t>E. 3.4</w:t>
      </w:r>
    </w:p>
    <w:p>
      <w:r>
        <w:t>Vor der Vorinstanz hat der Beschwerdeführer nicht nur den Ausstand der das Strafverfahren leitenden Staatsanwältin, sondern sämtlicher bzw. sämtlicher im Strafverfahren gegen ihn ermittelnden Staatsanwälte der Staatsanwaltschaft Basel-Stadt beantragt. Wie dem angefochtenen Entscheid zu entnehmen ist, hat die Vorinstanz das Ausstandsgesuch in diesem Sinne entgegengenommen und abgewiesen, soweit sie darauf eintrat. Der Beschwerdeführer macht vor Bundesgericht nicht geltend und den Akten ist nicht zu entnehmen, dass weitere Staatsanwälte der Staatsanwaltschaft Basel-Stadt am Strafverfahren gegen den Beschwerdeführer beteiligt wären bzw. gewesen wären. Für sie gälte jedenfalls das Gleiche wie für die das Strafverfahren leitende Staatsanwältin: Allein der Umstand, dass sie wie die als Privatkläger am Strafverfahren beteiligte Person in der allgemeinen Abteilung oder sonst als Staatsanwälte der Staatsanwaltschaft Basel-Stadt beschäftigt sind, vermag den Anschein der Befangenheit bei objektiver Betrachtungsweise nicht zu erwecken und weitere Umstände, die dies täten, werden vom Beschwerdeführer nicht dargetan.</w:t>
      </w:r>
    </w:p>
    <w:p>
      <w:r>
        <w:rPr>
          <w:b/>
        </w:rPr>
        <w:t>E. 4</w:t>
      </w:r>
    </w:p>
    <w:p>
      <w:r>
        <w:t>Nach dem Gesagten ist die Beschwerde abzuweisen, soweit darauf einzutreten ist. Bei diesem Ausgang des Verfahrens wird der Beschwerdeführer grundsätzlich kostenpflichtig ( Art. 66 Abs. 1 BGG ). Er ersucht indes um unentgeltliche Rechtspflege. Da die Voraussetzungen von Art. 64 Abs. 1 und 2 BGG erfüllt sind,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