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1B_597/2019 vom 19. Dezember 2019</w:t>
      </w:r>
    </w:p>
    <w:p>
      <w:r>
        <w:t>Bundesgericht, 2019-12-19, DE</w:t>
      </w:r>
    </w:p>
    <w:p>
      <w:r>
        <w:rPr>
          <w:b/>
        </w:rPr>
        <w:t xml:space="preserve">Quelle: </w:t>
      </w:r>
      <w:r>
        <w:t>https://mcp.opencaselaw.ch/entscheid/bger_1B_597_2019</w:t>
      </w:r>
    </w:p>
    <w:p>
      <w:r>
        <w:t>FR: TF 1B_597/2019 du 19 décembre 2019</w:t>
      </w:r>
    </w:p>
    <w:p>
      <w:r>
        <w:t>IT: TF 1B_597/2019 del 19 dicembre 2019</w:t>
      </w:r>
    </w:p>
    <w:p>
      <w:pPr>
        <w:pStyle w:val="Heading2"/>
      </w:pPr>
      <w:r>
        <w:t>Erwägungen</w:t>
      </w:r>
    </w:p>
    <w:p>
      <w:r>
        <w:rPr>
          <w:b/>
        </w:rPr>
        <w:t>E. 1</w:t>
      </w:r>
    </w:p>
    <w:p>
      <w:r>
        <w:t>Die Regionale Staatsanwaltschaft Berner Jura-Seeland führt ein Strafverfahren gegen A.________ wegen Beschimpfung zum Nachteil von B.________. Mit Verfügung vom 11. November 2019 wies die Staatsanwaltschaft ein Gesuch von A.________ um Einsetzung eines amtlichen Verteidigers ab. Dagegen erhob A.________ Beschwerde, welche die Beschwerdekammer in Strafsachen des Obergerichts des Kantons Bern mit Beschluss vom 9. Dezember 2019 abwies, soweit sie darauf eintrat.</w:t>
      </w:r>
    </w:p>
    <w:p>
      <w:r>
        <w:rPr>
          <w:b/>
        </w:rPr>
        <w:t>E. 2</w:t>
      </w:r>
    </w:p>
    <w:p>
      <w:r>
        <w:t>A.________ führt mit Eingabe vom 16. Dezember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Beschwerdekammer in Strafsachen legte in ihrer Begründung die Voraussetzungen für eine amtliche Verteidigung dar und kam zum Schluss, dass diese offensichtlich nicht gegeben seien, weshalb die Staatsanwaltschaft das Gesuch um Einsetzung eines amtlichen Verteidigers zu Recht abgewiesen habe. Mit diesen Ausführungen setzt sich der Beschwerdeführer nicht auseinander und vermag mit seinen nicht sachbezogenen Ausführungen nicht substantiiert aufzuzeigen, dass die Beschwerdekammer in Strafsachen die Beschwerde in rechts- bzw. verfassungswidriger Weise behandelt hätte.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