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1B_595/2012 vom 29. Oktober 2012</w:t>
      </w:r>
    </w:p>
    <w:p>
      <w:r>
        <w:t>Bundesgericht, 2012-10-29, FR</w:t>
      </w:r>
    </w:p>
    <w:p>
      <w:r>
        <w:rPr>
          <w:b/>
        </w:rPr>
        <w:t xml:space="preserve">Quelle: </w:t>
      </w:r>
      <w:r>
        <w:t>https://mcp.opencaselaw.ch/entscheid/bger_1B_595_2012</w:t>
      </w:r>
    </w:p>
    <w:p>
      <w:r>
        <w:t>FR: TF 1B_595/2012 du 29 octobre 2012</w:t>
      </w:r>
    </w:p>
    <w:p>
      <w:r>
        <w:t>IT: TF 1B_595/2012 del 29 ottobre 2012</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critique d'abord le fait que le Ministère public n'a apparemment communiqué qu'un extrait du dossier au juge de la détention. Il se borne à affirmer que ce procédé n'est "pas normal", sans exposer les normes juridiques qui pourraient être violées à cet égard. Il ne s'agit dès lors pas d'un grief conforme aux exigences minimales de motivation déduites de l' art. 42 al. 2 LTF . Il en va de même de la critique relative à une motivation prétendument insuffisante de la prolongation de la détention provisoire. Le reste du recours ne comporte pas davantage de motivation juridique, de sorte que sa recevabilité apparaît douteuse au regard des exigences précitées. On comprend néanmoins que le recourant conteste que les conditions de son maintien en détention provisoire sont réalisées, si bien qu'il y a lieu d'entrer en matière à cet égard.</w:t>
      </w:r>
    </w:p>
    <w:p>
      <w:r>
        <w:t>Dans son écriture, le recourant présente des faits qui ne ressortent pas de l'arrêt attaqué. Il perd ainsi de vue que, 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ou en violation du droit au sens de l' art. 95 LTF . Le recourant peut critiquer les constatations de fait aux mêmes conditions, si la correction du vice soulevé est susceptible d'influer sur le sort de la cause ( art. 97 al. 1 LTF ). Il lui appartient de démontrer que ces conditions sont réalisées, par une argumentation répondant aux exigences de motivation de l' art. 42 al. 2 LTF (cf. ATF 133 II 249 consid. 1.4.3 p. 254 s.). Une telle démonstration faisant défaut en l'espèce et une constatation inexacte des faits n'étant pas d'emblée évidente, il n'y a pas lieu de s'écarter des faits retenus dans l'arrêt attaqué. Les allégués de fait qui ne ressortent pas de celui-ci sont dès lors irrecevables.</w:t>
      </w:r>
    </w:p>
    <w:p>
      <w:r>
        <w:rPr>
          <w:b/>
        </w:rPr>
        <w:t>E. 3</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4</w:t>
      </w:r>
    </w:p>
    <w:p>
      <w:r>
        <w:t>Le recourant admet que les charges sont suffisantes mais il conteste l'existence des risques motivant son maintien en détention, notamment le risque de fuite.</w:t>
      </w:r>
    </w:p>
    <w:p>
      <w:r>
        <w:rPr>
          <w:b/>
        </w:rPr>
        <w:t>E. 4.1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4.2</w:t>
      </w:r>
    </w:p>
    <w:p>
      <w:r>
        <w:t>Le Tribunal cantonal retient que le recourant, ressortissant tunisien ayant déposé une demande d'asile le 27 février 2012, n'a aucune attache avec la Suisse. Il est domicilié en Tunisie et a, selon ses dires, un frère établi en France. Le risque existe donc de voir l'intéressé se réfugier dans ce pays voisin pour échapper à une éventuelle condamnation. L'instance précédente relève également que le placement du recourant dans un centre pour requérants d'asile à Zurich ne l'a pas empêché de venir dans la région lausannoise pour commettre des infractions. Dans ces conditions, il existe un risque concret que la peine encourue en cas de condamnation incite le recourant à prendre la fuite ou à disparaître dans la clandestinité pour se soustraire à la procédure pénale.</w:t>
      </w:r>
    </w:p>
    <w:p>
      <w:r>
        <w:t>Le recourant ne conteste pas véritablement cette appréciation, qui apparaît au demeurant bien fondée. Il affirme cependant que le risque de fuite peut être paré par une mesure de substitution consistant en une obligation de se présenter - tous les jours ou tous les deux jours - au poste de police le plus proche du centre d'accueil des migrants où il est logé. Cette mesure n'apparaît toutefois pas de nature à empêcher le recourant de passer la frontière ou de disparaître dans la clandestinité. On ne voit au demeurant pas quelle autre mesure pourrait atteindre le même but que la détention, dont la durée respecte en outre le principe de la proportionnalité. Quant aux considérations du recourant sur les prisons préventives "débordées", sur les motifs qui l'ont conduit à commettre des vols et sur une prétendue prise de conscience, elles ne sont pas étayées et sont dénuées de pertinence pour la résolution du présent litige. Enfin, le maintien en détention étant justifié par un risque de fuite, il n'y a pas lieu d'examiner s'il peut également être motivé par un risque de récidive, comme le retient l'arrêt attaqué.</w:t>
      </w:r>
    </w:p>
    <w:p>
      <w:r>
        <w:rPr>
          <w:b/>
        </w:rPr>
        <w:t>E. 5</w:t>
      </w:r>
    </w:p>
    <w:p>
      <w:r>
        <w:t>Il s'ensuit que le recours doit être rejeté, dans la mesure de sa recevabilité. Il n'y a pas lieu d'accorder l'assistance judiciaire, dès lors que les conclusions du recours apparaissaient d'emblée vouées à l'échec ( art. 64 al. 1 LTF ). Dès lors que le recourant est dans le besoin, il se justifie néanmoins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