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1B_593/2020 vom 30. November 2020</w:t>
      </w:r>
    </w:p>
    <w:p>
      <w:r>
        <w:t>Bundesgericht, 2020-11-30, DE</w:t>
      </w:r>
    </w:p>
    <w:p>
      <w:r>
        <w:rPr>
          <w:b/>
        </w:rPr>
        <w:t xml:space="preserve">Quelle: </w:t>
      </w:r>
      <w:r>
        <w:t>https://mcp.opencaselaw.ch/entscheid/bger_1B_593_2020</w:t>
      </w:r>
    </w:p>
    <w:p>
      <w:r>
        <w:t>FR: TF 1B_593/2020 du 30 novembre 2020</w:t>
      </w:r>
    </w:p>
    <w:p>
      <w:r>
        <w:t>IT: TF 1B_593/2020 del 30 novembre 2020</w:t>
      </w:r>
    </w:p>
    <w:p>
      <w:pPr>
        <w:pStyle w:val="Heading2"/>
      </w:pPr>
      <w:r>
        <w:t>Erwägungen</w:t>
      </w:r>
    </w:p>
    <w:p>
      <w:r>
        <w:rPr>
          <w:b/>
        </w:rPr>
        <w:t>E. 1</w:t>
      </w:r>
    </w:p>
    <w:p>
      <w:r>
        <w:t>Im Berufungsverfahren vor dem Kantonsgericht Luzern ersuchte A.________ um Ausstand der Kantonsrichter Arnold, Gabriel und Lehner sowie des Gerichtsschreibers Mengolian. Mit Beschluss vom 28. Oktober 2020 wies das Kantonsgericht das Ausstandsgesuch ab, soweit es darauf eintrat.</w:t>
      </w:r>
    </w:p>
    <w:p>
      <w:r>
        <w:rPr>
          <w:b/>
        </w:rPr>
        <w:t>E. 2</w:t>
      </w:r>
    </w:p>
    <w:p>
      <w:r>
        <w:t>A.________ führt mit Eingabe vom 23. November 2020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Kantonsgericht legte in seiner Begründung ausführlich dar, weshalb es die abgelehnten Gerichtspersonen für nicht befangen hielt. Mit diesen Ausführungen setzt sich der Beschwerdeführer nicht rechtsgenüglich auseinander und vermag nicht nachvollziehbar aufzuzeigen, dass das Kantonsgericht das Ausstandsgesuch in rechtswidriger Weise behandelt hätte. Der Beschwerdeführer legt nicht im Einzelnen und konkret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