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1B_592/2019 vom 16. Januar 2020</w:t>
      </w:r>
    </w:p>
    <w:p>
      <w:r>
        <w:t>Bundesgericht, 2020-01-16, DE</w:t>
      </w:r>
    </w:p>
    <w:p>
      <w:r>
        <w:rPr>
          <w:b/>
        </w:rPr>
        <w:t xml:space="preserve">Quelle: </w:t>
      </w:r>
      <w:r>
        <w:t>https://mcp.opencaselaw.ch/entscheid/bger_1B_592_2019</w:t>
      </w:r>
    </w:p>
    <w:p>
      <w:r>
        <w:t>FR: TF 1B_592/2019 du 16 janvier 2020</w:t>
      </w:r>
    </w:p>
    <w:p>
      <w:r>
        <w:t>IT: TF 1B_592/2019 del 16 gennaio 2020</w:t>
      </w:r>
    </w:p>
    <w:p>
      <w:pPr>
        <w:pStyle w:val="Heading2"/>
      </w:pPr>
      <w:r>
        <w:t>Erwägungen</w:t>
      </w:r>
    </w:p>
    <w:p>
      <w:r>
        <w:rPr>
          <w:b/>
        </w:rPr>
        <w:t>E. 1</w:t>
      </w:r>
    </w:p>
    <w:p>
      <w:r>
        <w:t>Das Bundesgericht hat die Akten beigezogen. Dem entsprechenden Verfahrensantrag (Beschwerde S. 5 Ziff. 7) ist damit Genüge getan.</w:t>
      </w:r>
    </w:p>
    <w:p>
      <w:r>
        <w:rPr>
          <w:b/>
        </w:rPr>
        <w:t>E. 2.1</w:t>
      </w:r>
    </w:p>
    <w:p>
      <w:r>
        <w:t>Gegen den angefochtenen Entscheid ist gemäss Art. 78 Abs. 1 BGG die Beschwerde in Strafsachen gegeben.</w:t>
      </w:r>
    </w:p>
    <w:p>
      <w:r>
        <w:t>Ein kantonales Rechtsmittel steht nicht zur Verfügung. Die Beschwerde ist nach Art. 80 BGG zulässig ( BGE 139 IV 175 E. 1.2 ff. S. 178 f.).</w:t>
      </w:r>
    </w:p>
    <w:p>
      <w:r>
        <w:rPr>
          <w:b/>
        </w:rPr>
        <w:t>E. 2.2.1</w:t>
      </w:r>
    </w:p>
    <w:p>
      <w:r>
        <w:t>Im vorinstanzlichen Verfahren geht es um einen selbständigen nachträglichen gerichtlichen Entscheid gemäss Art. 363 ff. StPO . Der angefochtene Entscheid schliesst das Verfahren nicht ab. Der Beschwerdeführer räumt das in der Sache ein, wenn er ausführt, die Vorinstanz habe bis zum Entscheid in der Hauptsache Sicherheitshaft angeordnet (Beschwerde S. 8 Ziff. 14). Der angefochtene Entscheid stellt somit einen Zwischenentscheid dar. Dieser betrifft weder die Zuständigkeit noch den Ausstand. Es handelt sich um einen "anderen Zwischenentscheid" nach Art. 93 BGG .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nach Art. 93 Abs. 1 lit. b BGG fällt hier ausser Betracht.</w:t>
      </w:r>
    </w:p>
    <w:p>
      <w:r>
        <w:t>Beim nicht wieder gutzumachenden Nachteil gemäss Art. 93 Abs. 1 lit. a BGG muss es sich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rechtlicher Natur soll sicherstellen, dass sich das Bundesgericht soweit möglich nicht mehrmals mit einer Angelegenheit befassen muss ( BGE 144 III 475 E. 1.2 S. 479 mit Hinweisen).</w:t>
      </w:r>
    </w:p>
    <w:p>
      <w:r>
        <w:t>Der Beschwerdeführer muss, sofern das nicht offensichtlich ist, darlegen, inwiefern ihm ein nicht wieder gutzumachender Nachteil im Sinne von Art. 93 Abs. 1 lit. a BGG drohen soll. Andernfalls genügt er seiner Begründungspflicht ( Art. 42 Abs. 2 BGG ) nicht und kann auf die Beschwerde nicht eingetreten werden ( BGE 142 III 798 E. 2.2 S. 801; 141 III 395 E. 2.5 S. 399 f.; je mit Hinweisen).</w:t>
      </w:r>
    </w:p>
    <w:p>
      <w:r>
        <w:rPr>
          <w:b/>
        </w:rPr>
        <w:t>E. 2.2.2</w:t>
      </w:r>
    </w:p>
    <w:p>
      <w:r>
        <w:t>Der Beschwerdeführer äussert sich nicht dazu, inwiefern ihm der angefochtene Entscheid einen nicht wieder gutzumachenden Nachteil rechtlicher Natur verursachen können soll. Auf die Beschwerde könnte demnach nur eingetreten werden, wenn das offensichtlich wäre.</w:t>
      </w:r>
    </w:p>
    <w:p>
      <w:r>
        <w:t>Der Beschwerdeführer befindet sich offenbar nach wie vor in der Justizvollzugsanstalt Lenzburg. Er beantragt keine Haftentlassung. Vielmehr verlangt er die Feststellung, die vom 12. bis zum 18. November 2019 angeordnete Sicherheitshaft sei unrechtmässig gewesen, und gestützt darauf eine Entschädigung.</w:t>
      </w:r>
    </w:p>
    <w:p>
      <w:r>
        <w:t>Das Appellationsgericht hat am 18. November 2019 in der Sache neu entschieden. Es hat in Abweisung der Beschwerde des Amtes die vom Strafgericht am 27. Juni 2018 angeordnete stationäre psychiatrische Behandlung bestätigt. Das Appellationsgericht hat diesen Entscheid den Parteien (und dem Bundesgericht) am 2. Januar 2020 mitgeteilt. Wie sich aus dem Protokoll der vorinstanzlichen Verhandlung vom 12. November 2019 (S. 4) ergibt, ist der Verteidiger der Auffassung, die stationäre psychiatrische Behandlung sei mangels Therapiefähigkeit und einer geeigneten Institution, in der sie vollzogen werden könne, "klar ausgeschlossen". Das Bundesgericht hält im Urteil vom 22. Oktober 2019 fest, der Beschwerdeführer sei zurzeit nicht therapiefähig (E. 1.7). Es ist deshalb anzunehmen, dass der Beschwerdeführer den Endentscheid des Appellationsgerichts vom 18. November 2019 beim Bundesgericht anfechten wird. Auch die Staatsanwaltschaft kann dagegen Beschwerde erheben ( BGE 145 IV 65 E. 1.2 S. 68 mit Hinweisen). Der Beschwerdeführer kann mit dem Endentscheid auch den vorinstanzlichen Zwischenentscheid anfechten. Das Bundesgericht sieht in Fällen, in denen es um Entschädigung geht, vom Erfordernis nach Art. 93 Abs. 3 BGG ab, wonach der Zwischenentscheid mit Beschwerde gegen den Endentscheid nur anfechtbar ist, soweit er sich auf dessen Inhalt auswirken kann (Urteil 2C_759/2008 vom 6. März 2009 E. 2.4 ff.). Im Übrigen hat der Beschwerdeführer, falls - wie er geltend macht - eine Verletzung der Europäischen Menschenrechtskonvention besteht, Anspruch auf eine entsprechende Feststellung und Wiedergutmachung ( BGE 136 I 274 E. 2 S. 278). Dies ergibt sich aus der Subsidiarität des Menschenrechtsschutzes durch den Europäischen Gerichtshof ( Art. 13 EMRK ; BGE 139 I 206 E. 1.2.1 f. S. 208 f.). Es ist deshalb davon auszugehen, dass der Beschwerdeführer den vorinstanzlichen Zwischenentscheid vom 12. November 2019 mit Beschwerde gegen den Endentscheid vom 18. November 2019 anfechten kann und damit der von ihm geltend gemachte Nachteil durch einen für ihn günstigen späteren Entscheid behoben werden kann. Jedenfalls ist der nicht wieder gutzumachende Nachteil rechtlicher Natur nicht offensichtlich.</w:t>
      </w:r>
    </w:p>
    <w:p>
      <w:r>
        <w:t>Auf die Beschwerde kann deshalb nicht eingetreten werden. Verhielte es sich anders, müsste sich das Bundesgericht gegebenenfalls kurz nacheinander zweimal mit derselben Angelegenheit befassen, was Art. 93 Abs. 1 lit. a BGG nach dem Gesagten verhindern will.</w:t>
      </w:r>
    </w:p>
    <w:p>
      <w:r>
        <w:rPr>
          <w:b/>
        </w:rPr>
        <w:t>E. 3</w:t>
      </w:r>
    </w:p>
    <w:p>
      <w:r>
        <w:t>Da die Beschwerde aus formellen Gründen aussichtslos war, kann die unentgeltliche Rechtspflege und Verbeiständung nach Art. 64 BGG nicht bewilligt werden. In Anbetracht der finanziellen Verhältnisse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