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58/2021 vom 9. März 2021</w:t>
      </w:r>
    </w:p>
    <w:p>
      <w:r>
        <w:t>Bundesgericht, 2021-03-09, DE</w:t>
      </w:r>
    </w:p>
    <w:p>
      <w:r>
        <w:rPr>
          <w:b/>
        </w:rPr>
        <w:t xml:space="preserve">Quelle: </w:t>
      </w:r>
      <w:r>
        <w:t>https://mcp.opencaselaw.ch/entscheid/bger_1B_58_2021</w:t>
      </w:r>
    </w:p>
    <w:p>
      <w:r>
        <w:t>FR: TF 1B 58/2021 du 9 mars 2021</w:t>
      </w:r>
    </w:p>
    <w:p>
      <w:r>
        <w:t>IT: TF 1B 58/2021 del 9 marzo 2021</w:t>
      </w:r>
    </w:p>
    <w:p>
      <w:pPr>
        <w:pStyle w:val="Heading2"/>
      </w:pPr>
      <w:r>
        <w:t>Regeste</w:t>
      </w:r>
    </w:p>
    <w:p>
      <w:r>
        <w:t>Strafprozess</w:t>
      </w:r>
    </w:p>
    <w:p>
      <w:pPr>
        <w:pStyle w:val="Heading2"/>
      </w:pPr>
      <w:r>
        <w:t>Erwägungen</w:t>
      </w:r>
    </w:p>
    <w:p>
      <w:r>
        <w:rPr>
          <w:b/>
        </w:rPr>
        <w:t>E. 1</w:t>
      </w:r>
    </w:p>
    <w:p>
      <w:r>
        <w:t>Mit Eingabe vom 27. Januar 2021, welche am 8. Februar 2021 beim Bundesgericht einging, erhob A.________ Beschwerde betreffend "Unterlassung der Gewährung der freien Religionsausübung im RGAL" gegen einen Entscheid der Anklagekammer des Kantons St. Gallen vom 13. Januar 2021. Mit Verfügung vom 8. Februar 2021 wurde A.________ aufgefordert, bis zum 19. Februar 2021 den angefochtenen Entscheid einzureichen unter der Androhung, dass seine Rechtsschrift ansonsten unbeachtet bleibe. Diese Verfügung wurde gleichentags versandt. Die Gerichtsurkunde wurde dem Bundesgericht von der Post mit dem Vermerk "Annahme verweigert" zurückgeschickt.</w:t>
      </w:r>
    </w:p>
    <w:p>
      <w:r>
        <w:rPr>
          <w:b/>
        </w:rPr>
        <w:t>E. 2</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Vorliegend wurde dem Beschwerdeführer die Verfügung vom 8. Februar 2021 an die von ihm in der Beschwerdeschrift genannte Adresse zugestellt und ihm damit ordnungsgemäss eröffnet; dass die Annahme der Sendung verweigert wurde, ändert daran nichts. Dementsprechend ist auf die Beschwerde androhungsgemäss nicht einzutreten, nachdem der Beschwerdeführer den angefochtenen Entscheid innert Frist nicht eingereicht hat.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