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1B_588/2019 vom 17. Dezember 2019</w:t>
      </w:r>
    </w:p>
    <w:p>
      <w:r>
        <w:t>Bundesgericht, 2019-12-17, DE</w:t>
      </w:r>
    </w:p>
    <w:p>
      <w:r>
        <w:rPr>
          <w:b/>
        </w:rPr>
        <w:t xml:space="preserve">Quelle: </w:t>
      </w:r>
      <w:r>
        <w:t>https://mcp.opencaselaw.ch/entscheid/bger_1B_588_2019</w:t>
      </w:r>
    </w:p>
    <w:p>
      <w:r>
        <w:t>FR: TF 1B_588/2019 du 17 décembre 2019</w:t>
      </w:r>
    </w:p>
    <w:p>
      <w:r>
        <w:t>IT: TF 1B_588/2019 del 17 dicembre 2019</w:t>
      </w:r>
    </w:p>
    <w:p>
      <w:pPr>
        <w:pStyle w:val="Heading2"/>
      </w:pPr>
      <w:r>
        <w:t>Erwägungen</w:t>
      </w:r>
    </w:p>
    <w:p>
      <w:r>
        <w:rPr>
          <w:b/>
        </w:rPr>
        <w:t>E. 1</w:t>
      </w:r>
    </w:p>
    <w:p>
      <w:r>
        <w:t>Am 26. November 2019 ist das Obergericht des Kantons Bern auf ein Ausstandsgesuch von A.________ gegen Staatsanwältin Wollmann nicht eingetreten.</w:t>
      </w:r>
    </w:p>
    <w:p>
      <w:r>
        <w:t>Mit Beschwerde vom 11. Dezember 2019 beantragt A.________, Staatsanwältin Wollmann abzusetzen.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bringt vor, die gegen ihn erhobenen Vorwürfe seien vom "Familien-Clan B.A.________" frei erfundene Lügen. Die Straftäter B.A.________ und C.A.________ würden von Staatsanwältin Wollmann geschützt, weshalb ihre Mitwirkung am Strafverfahren gegen ihn unzulässig sei.</w:t>
      </w:r>
    </w:p>
    <w:p>
      <w:r>
        <w:t>Das Obergericht hat sich indessen im angefochtenen Entscheid mit dem Ausstandsgesuch gar nicht materiell beschäftigt, sondern ist darauf nicht eingetreten mit der Begründung, es sei offensichtlich verspätet eingereicht worden. Damit setzt sich der Beschwerdeführer nicht auseinander, und belegt nicht, dass er sein Gesuch entgegen der Auffassung des Obergerichts rechtzeitig eingereicht habe. Das ist auch nicht ersichtlich. Auf Beschwerde ist wegen Verletzung der gesetzlichen Begründungspflicht nicht einzutreten, und zwar, weil der Mangel offensichtlich ist, im vereinfachten Verfahren. Auf die Erhebung von 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