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1B_588/2012 vom 10. Januar 2013</w:t>
      </w:r>
    </w:p>
    <w:p>
      <w:r>
        <w:t>Bundesgericht, 2013-01-10, FR</w:t>
      </w:r>
    </w:p>
    <w:p>
      <w:r>
        <w:rPr>
          <w:b/>
        </w:rPr>
        <w:t xml:space="preserve">Quelle: </w:t>
      </w:r>
      <w:r>
        <w:t>https://mcp.opencaselaw.ch/entscheid/bger_1B_588_2012</w:t>
      </w:r>
    </w:p>
    <w:p>
      <w:r>
        <w:t>FR: TF 1B_588/2012 du 10 janvier 2013</w:t>
      </w:r>
    </w:p>
    <w:p>
      <w:r>
        <w:t>IT: TF 1B_588/2012 del 10 gennaio 2013</w:t>
      </w:r>
    </w:p>
    <w:p>
      <w:pPr>
        <w:pStyle w:val="Heading2"/>
      </w:pPr>
      <w:r>
        <w:t>Erwägungen</w:t>
      </w:r>
    </w:p>
    <w:p>
      <w:r>
        <w:rPr>
          <w:b/>
        </w:rPr>
        <w:t>E. 1</w:t>
      </w:r>
    </w:p>
    <w:p>
      <w:r>
        <w:t>Conformément à l' art. 393 al. 1 let . c CPP, un recours au sens du CPP n'est ouvert contre les décisions du Tmc que dans les cas prévus par ledit code. Aux termes de l' art. 248 al. 3 let. a CPP , le Tmc statue définitivement sur la demande de levée des scellés au stade de la procédure préliminaire. Le code ne prévoit pas de recours contre les autres décisions rendues par le Tmc dans le cadre de la procédure de levée des scellés. Le Tribunal pénal fédéral a dès lors considéré à juste titre que la décision attaquée ne pouvait faire l'objet d'aucun recours au sens de l' art. 393 CPP . Le recours au Tribunal fédéral est par conséquent directement ouvert ( art. 80 LTF ). La décision attaquée revêt pour la recourante un caractère final, puisqu'elle l'exclut de la procédure de levée des scellés. Elle est au demeurant susceptible de lui causer un préjudice irréparable au sens de l' art. 93 al. 1 let. a LTF , en ce sens qu'elle l'empêche de faire valoir ses droits dans une procédure de levée des scellés portant sur des objets qui pourraient être couverts par son immunité. Pour le surplus, le recours est formé en temps utile ( art. 100 al. 1 LTF ) et les conclusions présentées sont recevables au regard de l' art. 107 al. 2 LTF , de sorte qu'il y a lieu d'entrer en matière.</w:t>
      </w:r>
    </w:p>
    <w:p>
      <w:r>
        <w:rPr>
          <w:b/>
        </w:rPr>
        <w:t>E. 2</w:t>
      </w:r>
    </w:p>
    <w:p>
      <w:r>
        <w:t>Invoquant l' art. 105 al. 2 CPP , la recourante soutient que la qualité de partie devrait lui être reconnue dans la mesure nécessaire à la sauvegarde de ses intérêts, dès lors qu'elle est un tiers touché par des actes de procédure au sens de l' art. 105 al. 1 let . f CPP.</w:t>
      </w:r>
    </w:p>
    <w:p>
      <w:r>
        <w:rPr>
          <w:b/>
        </w:rPr>
        <w:t>E. 2.1</w:t>
      </w:r>
    </w:p>
    <w:p>
      <w:r>
        <w:t>Alors que les parties peuvent se prévaloir sans condition des droits procéduraux conférés par le code, les autres participants à la procédure doivent établir qu'ils sont directement touchés dans leurs droits au sens de l' art. 105 al. 2 CPP (NIKLAUS SCHMID, Schweizerische Strafprozessordnung Praxiskommentar, 2009, n. 10 ad art. 105 CPP ; VIKTOR LIEBER, in Donatsch/Hansjakob/Lieber (éd.), Kommentar zur Schweizerischen Strafprozessordnung, 2010, n. 1 ad art. 105 CPP ). Pour que le participant à la procédure se voie reconnaître la qualité de partie en application de l' art. 105 al. 2 CPP , il faut que l'atteinte à ses droits soit directe, immédiate et personnelle, une atteinte de fait ou indirecte étant insuffisante ( ATF 137 IV 280 consid. 2.2.1 p. 283; cf. STEPHAN STUCKI, in Goldschmid/Maurer/ Sollberger (éd.), Kommentierte Textausgabe zur Schweizerischen Strafprozessordnung, 2008, p. 83; NIKLAUS SCHMID, op. cit., n. 10 ad art. 105 CPP ; HENRIETTE KÜFFER, in Basler Kommentar StPO, 2011, n. 31 ad art. 105 CPP ).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(cf. VIKTOR LIEBER, op. cit., n. 12 ss ad art. 105 CPP ; YASMINA BENDANI, in Commentaire romand CPP, 2011, n. 6, 10 et 14 ad art. 105 CPP ).</w:t>
      </w:r>
    </w:p>
    <w:p>
      <w:r>
        <w:rPr>
          <w:b/>
        </w:rPr>
        <w:t>E. 2.2</w:t>
      </w:r>
    </w:p>
    <w:p>
      <w:r>
        <w:t>En l'espèce, la recourante bénéficie des immunités de l'Etat, qui protègent notamment ses biens ainsi que ses représentants à l'étranger (cf. PATRICK DAILLIER/ALAIN PELLET, Droit international public, 7e éd., p. 451). Ce principe de droit coutumier a été précisé dans la Convention de Vienne sur les relations diplomatiques, qui règle en particulier l'immunité des agents diplomatiques (art. 29 et 31) et l'inviolabilité de leur correspondance et de leurs biens (art. 30). Ces immunités sont destinées à garantir le respect de la souveraineté de l'Etat (PATRICK DAILLIER/ALAIN PELLET, op. cit., p. 450), qui peut d'ailleurs renoncer à l'immunité de juridiction de ses agents (art. 32 al. 1). Ainsi, même si ces immunités s'étendent aux agents diplomatiques, l'Etat en est titulaire et bénéficie de droits à cet égard.</w:t>
      </w:r>
    </w:p>
    <w:p>
      <w:r>
        <w:t>Dans ces conditions, s'il s'avère que les scellés ont été apposés sur des biens et des documents de la recourante ou de la cheffe de sa mission à Genève, la mesure litigieuse causerait une atteinte directe aux droits de la recourante au sens de l' art. 105 al. 2 CPP . Celle-ci devrait donc pouvoir participer à la procédure de levée des scellés dans la mesure nécessaire à la sauvegarde de ses intérêts. Certes, comme le relève la décision attaquée, une partie de la doctrine est d'avis que seul le détenteur des biens sous scellés a qualité de partie dans la procédure de l' art. 248 CPP (OLIVIER THORMANN/BEAT BRECHBÜHL, in Basler Kommentar StPO, op. cit., n. 32 ad art. 248 CPP ). D'autres auteurs se montrent cependant plus souples et réservent une intervention des tiers touchés (ANDREAS J. KELLER, in Donatsch/Hansjakob/ Lieber (éd.), op. cit., n. 6 s. ad art. 248 CPP ; CATHERINE CHIRAZI, in Commentaire romand CPP, op. cit., n. 12 ad art. 248 CPP ). Quoi qu'il en soit, la mesure litigieuse causant une atteinte directe aux droits de la recourante, celle-ci doit être considérée comme un participant à la procédure au sens de l' art. 105 CPP .</w:t>
      </w:r>
    </w:p>
    <w:p>
      <w:r>
        <w:t>La possibilité d'intervenir dans la procédure de levée des scellés s'impose d'autant plus en l'espèce que la recourante n'est apparemment pas en mesure d'identifier les biens et les documents saisis en mains de tiers et placés sous scellés. Le MPC et le Tmc ne lui ayant pas donné de renseignements sur ce point, seule une participation à la procédure de levée des scellés pourrait lui permettre de sauvegarder ses droits, en désignant les objets ou les documents sous scellés potentiellement couverts par l'immunité diplomatique. Le recours doit donc être admis et la qualité de participant à la procédure doit être reconnue à la recourante, étant précisé que cette qualité ne vaut que pour la procédure de levée des scellés et uniquement dans la mesure nécessaire à la sauvegarde de ses intérêts ( art. 105 al. 2 CPP ).</w:t>
      </w:r>
    </w:p>
    <w:p>
      <w:r>
        <w:rPr>
          <w:b/>
        </w:rPr>
        <w:t>E. 3</w:t>
      </w:r>
    </w:p>
    <w:p>
      <w:r>
        <w:t>Il s'ensuit que le recours doit être admis et la décision attaquée annulée. La cause est renvoyée au Tmc, pour qu'il poursuive la procédure de levée des scellés en reconnaissant à la recourante la qualité de partie au sens de l' art. 105 al. 2 CPP . Il n'y a pas lieu de percevoir de frais judiciaires ( art. 66 al. 4 LTF ). La recourante obtenant gain de cause, la Confédération versera une indemnité à titre de dépens à son conseil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