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587/2020 vom 10. Dezember 2020</w:t>
      </w:r>
    </w:p>
    <w:p>
      <w:r>
        <w:t>Bundesgericht, 2020-12-10, FR</w:t>
      </w:r>
    </w:p>
    <w:p>
      <w:r>
        <w:rPr>
          <w:b/>
        </w:rPr>
        <w:t xml:space="preserve">Quelle: </w:t>
      </w:r>
      <w:r>
        <w:t>https://mcp.opencaselaw.ch/entscheid/bger_1B_587_2020</w:t>
      </w:r>
    </w:p>
    <w:p>
      <w:r>
        <w:t>FR: TF 1B 587/2020 du 10 décembre 2020</w:t>
      </w:r>
    </w:p>
    <w:p>
      <w:r>
        <w:t>IT: TF 1B 587/2020 del 10 dicembre 2020</w:t>
      </w:r>
    </w:p>
    <w:p>
      <w:pPr>
        <w:pStyle w:val="Heading2"/>
      </w:pPr>
      <w:r>
        <w:t>Regeste</w:t>
      </w:r>
    </w:p>
    <w:p>
      <w:r>
        <w:t>Procédure pénale; 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p. 23). Si le maintien en détention repose actuellement sur l'ordonnance du 1er octobre 2020 du Tmc - qui prolonge la détention jusqu'au 31 décembre 2020 -, le recourant, prévenu détenu, conserve néanmoins un intérêt juridique à la vérification de la décision attaquée qui confirme le rejet de sa demande de libération (art. 81 al. 1 let. a et b ch. 1 LTF; arrêt 1B_195/2020 du 18 mai 2020 consid. 1) Au surplus,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 Cependant, contrairement à la requête du recourant, il n'y a pas lieu de joindre la présente procédure à celle qui a été introduite auprès du Tribunal fédéral au sujet de la mise en oeuvre d'une expertise psychiatrique (cf. ci-dessus let. C), même si les deux causes sont jugées par arrêts du même jour.</w:t>
      </w:r>
    </w:p>
    <w:p>
      <w:r>
        <w:rPr>
          <w:b/>
        </w:rPr>
        <w:t>E. 2</w:t>
      </w:r>
    </w:p>
    <w:p>
      <w:r>
        <w:t>Le recourant débute son mémoire par une rubrique intitulée "Faits", par lequel il procède à une présentation personnelle des éléments factuels déterminants. Une telle démarche, dans la mesure où les faits exposés s'écartent des constatations de l'instance précédente ou les complètent, sans qu'il soit indiqué que ceux-ci seraient manifestement inexacts ou arbitraires, est en principe irrecevable, le Tribunal fédéral n'étant pas une instance d'appel (cf. ATF 140 III 115 consid. 2 p. 117; 137 II 353 consid. 5.1 p. 356). Cela étant, il peut être déduit de la suite des développements du recourant que, par une remise en cause des faits retenus par la cour cantonale, celui-ci entend en réalité contester, au regard de l' art. 221 al. 1 CPP , l'existence de charges suffisantes justifiant son maintien en détention.</w:t>
      </w:r>
    </w:p>
    <w:p>
      <w:r>
        <w:rPr>
          <w:b/>
        </w:rPr>
        <w:t>E. 2.1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les besoins de l'instruction, un risque de fuite ou un danger de collusion ou de réitération (cf. art. 221 al. 1 let. a, b et c CPP). Préalablement à ces conditions, il doit exister des charges suffisantes, soit de sérieux soupçons de culpabilité, à l'égard de l'intéressé ( art. 221 al. 1 CPP ; art. 5 par. 1 let .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143 IV 316 consid. 3.1 et 3.2 p. 318).</w:t>
      </w:r>
    </w:p>
    <w:p>
      <w:r>
        <w:rPr>
          <w:b/>
        </w:rPr>
        <w:t>E. 2.2</w:t>
      </w:r>
    </w:p>
    <w:p>
      <w:r>
        <w:t>La Chambre pénale a considéré qu'à ce stade de l'enquête, le recourant demeurait sérieusement soupçonné d'avoir porté atteinte à l'intégrité corporelle et sexuelle de C.________. Les déclarations détaillées de cette dernière quant aux événements d'août et de septembre 2018 ne présentaient pas de contradictions flagrantes et n'apparaissaient pas non plus invraisemblables, en particulier après la reconstitution, le 1er juillet 2020, de la scène de viol dont elle aurait été victime en septembre 2018 à son domicile, de sorte qu'elles pouvaient être prises en considération nonobstant les dénégations du recourant, dont certaines déclarations entraient en contradiction avec celles des co-prévenus E.________ et D.________ et avaient par ailleurs varié en cours de procédure. Dans un premier temps, le recourant avait ainsi notamment contesté avoir forcé C.________ à se déshabiller en présence de F.________, avant d'admettre une telle éventualité ensuite de la déposition du précité. Les explications de F.________ étaient du reste de nature à confirmer l'emprise exercée par le recourant sur C.________, y compris par l'usage de la force physique (cf. ordonnance attaquée, consid. 3.2 p. 5; ordonnance de la Chambre pénale du 31 juillet 2020, consid. 3.2 p. 11).</w:t>
      </w:r>
    </w:p>
    <w:p>
      <w:r>
        <w:rPr>
          <w:b/>
        </w:rPr>
        <w:t>E. 2.3</w:t>
      </w:r>
    </w:p>
    <w:p>
      <w:r>
        <w:t>En tant que le recourant oppose principalement à ce qui précède que C.________ l'avait mis hors de cause lorsqu'elle avait été entendue par la police une première fois en mars 2019, il n'y a en l'état rien d'insoutenable à considérer, comme l'a fait la cour cantonale en référence à sa précédente ordonnance du 31 juillet 2020 (cf. ordonnance attaquée, consid. 3.1), que cette circonstance pouvait s'expliquer par la peur de représailles, évoquée par C.________ lors de son audition du 14 avril 2020, sans que cela soit de nature à porter un doute sur le caractère détaillé et constant de ses déclarations ultérieures, qui se recoupaient en partie avec celle de sa fille G.________ (cf. ordonnance de la Chambre pénale du 31 juillet 2020, consid. 3.2 p. 11). A cet égard, il n'est nullement déterminant que cette dernière ait décrit sa mère comme quelqu'un qui s'habillait de manière provocante et qui aimait " séduire et sortir ". Il n'est pas non plus décisif que la dénonciation de C.________ soit intervenue alors qu'elle était elle-même en détention provisoire pour une affaire de stupéfiants qui serait liée aux propres activités du recourant en la matière. On rappellera quoi qu'il en soit qu'il n'appartient pas au juge de la détention provisoire d'examiner en détail l'ensemble des considérations de fait, pas plus que de procéder à une appréciation complète des éléments à charge et à décharge; il lui incombe uniquement de vérifier, sous l'angle de la vraisemblance, que le maintien en détention avant jugement repose sur des indices de culpabilité suffisants. Or, à ce stade de l'enquête, il peut être admis que les différentes déclarations recueillies en cours de procédure, en particulier celles crédibles de la plaignante C.________, reflètent des indices suffisants à l'encontre du prévenu s'agissant d'atteintes répétées, et violentes, à son intégrité corporelle et sexuelle, étant rappelé que c'est au juge du fond et non à celui de la détention qu'il incombera de résoudre définitivement les questions de qualification juridique des faits poursuivis, d'apprécier la culpabilité de l'intéressé ainsi que la valeur probante des différentes déclarations. Cela vaut particulièrement dans une situation comme en l'espèce de "déposition contre déposition" ("Aussage gegen Aussage"), dans laquelle les déclarations du recourant et de la plaignante représentent un moyen de preuve dont la connaissance directe par le tribunal apparaît nécessaire au prononcé du jugement, au sens de l' art. 343 al. 3 CPP ( ATF 140 IV 196 consid. 4.4.3 p. 200; arrêt 1B_577/2020 du 2 décembre 2020 consid. 2.2). Compte tenu de ce qui précède, l'appréciation de la cour cantonale, selon laquelle il existait de forts soupçons à l'encontre du recourant, est dénuée d'arbitraire et ne viole pas l' art. 221 al. 1 CPP .</w:t>
      </w:r>
    </w:p>
    <w:p>
      <w:r>
        <w:rPr>
          <w:b/>
        </w:rPr>
        <w:t>E. 3</w:t>
      </w:r>
    </w:p>
    <w:p>
      <w:r>
        <w:t>Le recourant conteste ensuite l'existence d'un risque de récidive.</w:t>
      </w:r>
    </w:p>
    <w:p>
      <w:r>
        <w:rPr>
          <w:b/>
        </w:rPr>
        <w:t>E. 3.1</w:t>
      </w:r>
    </w:p>
    <w:p>
      <w:r>
        <w:t>En vertu de l' art. 221 al. 1 let . c CPP, la détention pour des motifs de sûreté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 ATF 143 IV 9 consid. 2.5 p. 14).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 et 4 p. 18). Le risque de récidive peut également se fonder sur les infractions faisant l'objet de la procédure pénale en cours, si le prévenu est fortement soupçonné de les avoir commises ( ATF 143 IV 9 consid. 2.3.1 p. 13).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tout type de biens juridiquement protégés. Ce sont en premier lieu les délits contre l'intégrité corporelle et sexuelle qui sont visés ( ATF 143 IV 9 consid. 2.6 et 2.7 p. 14).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143 IV 9 consid. 2.8 p. 16).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146 IV 136 consid. 2.2 p. 139; 143 IV 9 consid. 2.9 p. 17).</w:t>
      </w:r>
    </w:p>
    <w:p>
      <w:r>
        <w:rPr>
          <w:b/>
        </w:rPr>
        <w:t>E. 3.2</w:t>
      </w:r>
    </w:p>
    <w:p>
      <w:r>
        <w:t>L' art. 221 al. 2 CPP permet par ailleurs d'ordonner la détention lorsqu'il y a lieu de craindre un passage à l'acte, même en l'absence de toute infraction préalable. Il doit s'agir d'un crime grave et non seulement d'un délit ( ATF 137 IV 122 consid. 5 p. 129).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 ATF 140 IV 19 consid. 2.1.1 p. 21; 137 IV 122 consid. 5 p. 129). Plus l'infraction redoutée est grave, plus la mise en détention se justifie lorsque les éléments disponibles ne permettent pas une évaluation précise de ce risque ( ATF 140 IV 19 consid. 2.1.1 p. 22).</w:t>
      </w:r>
    </w:p>
    <w:p>
      <w:r>
        <w:rPr>
          <w:b/>
        </w:rPr>
        <w:t>E. 3.3</w:t>
      </w:r>
    </w:p>
    <w:p>
      <w:r>
        <w:t>La Chambre pénale a estimé que les actes reprochés au recourant, en tant qu'il s'en serait pris à plusieurs reprises à l'intégrité corporelle et sexuelle de la plaignante C.________, avec des complices et dans des circonstances particulièrement violentes, constituaient un cas particulier suffisamment grave pour lequel un risque de récidive devait être pris en considération nonobstant l'absence d'antécédents de cette nature inscrits à son casier judiciaire. L'intérêt à la sécurité publique devait dans ce contexte l'emporter sur la liberté personnelle du recourant, à tout le moins jusqu'à ce que des conclusions provisoires quant à l'existence d'un risque de récidive fussent formulées par le Dr H.________ dans le cadre du mandat d'expertise psychiatrique qui lui avait été confié par le Ministère public (cf. ordonnance attaquée, consid. 4.2 p. 6).</w:t>
      </w:r>
    </w:p>
    <w:p>
      <w:r>
        <w:rPr>
          <w:b/>
        </w:rPr>
        <w:t>E. 3.4</w:t>
      </w:r>
    </w:p>
    <w:p>
      <w:r>
        <w:t>En tant que le recourant conteste l'existence d'un risque de récidive, arguant que les actes en cause auraient été perpétrés il y a plus de deux ans, sans qu'il lui soit reproché d'avoir commis de nouvelles infractions de cette nature dans l'intervalle, on ne saurait néanmoins ignorer en l'occurrence les tentatives d'intimidation et les menaces de mort dont C.________ prétend avoir été victime à plusieurs reprises et dernièrement en juin 2020. Quand bien même le recourant prétend ne pas être impliqué dans les événements de juin 2020, même indirectement, les déclarations de la plaignante précitée incitent à une prudence particulière, alors qu'il est précisément reproché au recourant de l'avoir menacée, au moment des actes qui auraient été perpétrés en 2018, de s'en prendre à elle ou à sa fille si elle en parlait à de tierces personnes. Il faut prendre en considération, à cet égard, que le comportement du recourant paraît à première vue dénoter une certaine impulsivité ainsi que, d'une manière générale, une propension à la violence, ce que tendent d'ailleurs à confirmer les déclarations de plusieurs personnes entendues dans le cadre de la procédure. Dans ce contexte, il apparaît justifié, en l'absence de plus amples informations sur l'état psychique du recourant et sa dangerosité, d'attendre les premières conclusions de l'expertise psychiatrique quant aux risques de récidive et de passage à l'acte, qui entrent à ce stade tous deux en considération au regard de la nature des faits redoutés.</w:t>
      </w:r>
    </w:p>
    <w:p>
      <w:r>
        <w:rPr>
          <w:b/>
        </w:rPr>
        <w:t>E. 3.5</w:t>
      </w:r>
    </w:p>
    <w:p>
      <w:r>
        <w:t>Il est par ailleurs observé que, si l'exécution du mandat d'expertise paraît avoir pris du retard, cette circonstance est au moins en partie due à l'attitude du recourant, qui persiste de refuser de collaborer à l'expertise et qui s'est vainement opposé à la remise à l'expert de l'enregistrement filmé de la reconstitution des faits (cf. cause 1B_546/2020). Il appartiendra néanmoins au Ministère public de s'assurer, dans la perspective d'une éventuelle demande de prolongation de la détention en raison de risques de récidive ou de passage à l'acte, que les premières conclusions, même provisoires, de l'expertise lui parviennent à bref délai, voire d'examiner, le cas échéant, si la détention provisoire est susceptible de se justifier en raison d'un autre risque. Cela étant, dès lors notamment que l'expert désigné ne paraît pas avoir estimé que la participation du recourant était indispensable à l'accomplissement de son mandat, le recourant ne saurait tirer argument de son refus de collaborer pour tenter de justifier sa libération.</w:t>
      </w:r>
    </w:p>
    <w:p>
      <w:r>
        <w:rPr>
          <w:b/>
        </w:rPr>
        <w:t>E. 3.6</w:t>
      </w:r>
    </w:p>
    <w:p>
      <w:r>
        <w:t>Conformément au principe de la proportionnalité ( art. 36 al. 3 Cst. ), il convient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ces mesures permettent d'atteindre le même but que la détention. Quant bien même le recourant conclut, à titre subsidiaire, au prononcé de mesures de substitution à la détention provisoire, il ne propose concrètement, dans son recours en matière pénale, aucune mesure à mettre en oeuvre, pas plus qu'il ne s'en prend spécifiquement à l'appréciation de la cour cantonale quant à l'absence de mesure de substitution possible, appréciation qui n'apparaît au demeurant pas critiquable au vu des actes redoutés. Enfin, du point de vue temporel, compte tenu de la gravité des infractions pour lesquelles le recourant a été mis en prévention et de la durée de la détention provisoire déjà subie, le principe de la proportionnalité est encore respecté.</w:t>
      </w:r>
    </w:p>
    <w:p>
      <w:r>
        <w:rPr>
          <w:b/>
        </w:rPr>
        <w:t>E. 3.7</w:t>
      </w:r>
    </w:p>
    <w:p>
      <w:r>
        <w:t>Au regard de ces considérations, l'autorité précédente pouvait, à juste titre, confirmer le maintien du recourant en détention provisoire.</w:t>
      </w:r>
    </w:p>
    <w:p>
      <w:r>
        <w:rPr>
          <w:b/>
        </w:rPr>
        <w:t>E. 4</w:t>
      </w:r>
    </w:p>
    <w:p>
      <w:r>
        <w:t>Le recours doit par conséquent être rejeté dans la mesure où il est recevable. Le recourant a requis l'assistance judiciaire et les conditions en paraissent réunies ( art. 64 al. 1 LTF ). Dès lors que le recourant demande à cet égard uniquement à être dispensé du paiement des frais judiciaires, l'assistance judiciaire lui sera octroyé dans cette seule mesure ( art. 64 al. 1 LTF ), sans qu'un avocat d'office lui soit en outre désigné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