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1B_586/2022 vom 21. Februar 2023</w:t>
      </w:r>
    </w:p>
    <w:p>
      <w:r>
        <w:t>Bundesgericht, 2023-02-21, DE</w:t>
      </w:r>
    </w:p>
    <w:p>
      <w:r>
        <w:rPr>
          <w:b/>
        </w:rPr>
        <w:t xml:space="preserve">Quelle: </w:t>
      </w:r>
      <w:r>
        <w:t>https://mcp.opencaselaw.ch/entscheid/bger_1B_586_2022</w:t>
      </w:r>
    </w:p>
    <w:p>
      <w:r>
        <w:t>FR: TF 1B_586/2022 du 21 février 2023</w:t>
      </w:r>
    </w:p>
    <w:p>
      <w:r>
        <w:t>IT: TF 1B_586/2022 del 21 febbraio 2023</w:t>
      </w:r>
    </w:p>
    <w:p>
      <w:pPr>
        <w:pStyle w:val="Heading2"/>
      </w:pPr>
      <w:r>
        <w:t>Erwägungen</w:t>
      </w:r>
    </w:p>
    <w:p>
      <w:r>
        <w:rPr>
          <w:b/>
        </w:rPr>
        <w:t>E. 1</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Dabei obliegt es grundsätzlich den für die Verfahrensleitung zuständigen Behörden ( Art. 61 StPO ), das Bundesgericht während des hängigen Beschwerdeverfahrens über neue Entscheide, welche zur Gegenstandslosigkeit des Beschwerdeverfahrens führen, zu informieren (Urteil 1B_290/2022 vom 23. November 2022 E. 1 mit Hinweis).</w:t>
      </w:r>
    </w:p>
    <w:p>
      <w:r>
        <w:rPr>
          <w:b/>
        </w:rPr>
        <w:t>E. 2</w:t>
      </w:r>
    </w:p>
    <w:p>
      <w:r>
        <w:t>Der Beschwerdeführer äussert sich in seiner Stellungnahme vom 17. Februar 2023 nicht explizit zu seinem Rechtsschutzinteresse. Er hält - neben diversen materiellen Ausführungen zum eigentlichen Strafverfahren, welches vorliegend aber nicht Streitgegenstand ist - lediglich fest, dass er "sehr dankbar sei, dass die angeordneten Ersatzmassnahmen per 28. Dezember 2022 eingestellt wurden". Daraus kann zumindest implizit geschlossen werden, dass auch er der Auffassung ist, sein Rechtsschutzinteresse sei dahingefallen, indem die Ersatzmassnahmen nicht verlängert wurden. Der angefochtene Entscheid hat zudem die Kosten für das vorinstanzliche Beschwerdeverfahren dem Endentscheid vorbehalten, welcher wiederum die entsprechenden Kosten auf die Gerichtskasse genommen hat. Demzufolge ist das bundesgerichtliche Verfahren vom Instruktionsrichter als Einzelrichter ( Art. 32 Abs. 2 BGG ) als gegenstandslos abzuschreiben ( Art. 71 BGG i.V.m. Art. 72 BZP ).</w:t>
      </w:r>
    </w:p>
    <w:p>
      <w:r>
        <w:rPr>
          <w:b/>
        </w:rPr>
        <w:t>E. 3</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Dabei wird in erster Linie jene Partei kosten- und entschädigungspflichtig, die das gegenstandslos gewordene Verfahren veranlasst hat oder bei der die Gründe eingetreten sind, die zur Gegenstandslosigkeit des Verfahrens geführt haben.</w:t>
      </w:r>
    </w:p>
    <w:p>
      <w:r>
        <w:t>Vorliegend erübrigt es sich indessen, den mutmasslichen Prozessausgang im Hinblick auf den hier zu treffenden Kostenentscheid zu bestimmen, da für das vorliegende Verfahren keine Gerichtsgebühr zu erheben und andererseits dem nicht anwaltlich vertretenen Beschwerdeführer praxisgemäss keine Parteientschädigung zuzusprechen ist. Bei den gegebenen Verhältnissen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