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1B_585/2019 vom 30. Dezember 2019</w:t>
      </w:r>
    </w:p>
    <w:p>
      <w:r>
        <w:t>Bundesgericht, 2019-12-30, FR</w:t>
      </w:r>
    </w:p>
    <w:p>
      <w:r>
        <w:rPr>
          <w:b/>
        </w:rPr>
        <w:t xml:space="preserve">Quelle: </w:t>
      </w:r>
      <w:r>
        <w:t>https://mcp.opencaselaw.ch/entscheid/bger_1B_585_2019</w:t>
      </w:r>
    </w:p>
    <w:p>
      <w:r>
        <w:t>FR: TF 1B_585/2019 du 30 décembre 2019</w:t>
      </w:r>
    </w:p>
    <w:p>
      <w:r>
        <w:t>IT: TF 1B_585/2019 del 30 dicembre 2019</w:t>
      </w:r>
    </w:p>
    <w:p>
      <w:pPr>
        <w:pStyle w:val="Heading2"/>
      </w:pPr>
      <w:r>
        <w:t>Erwägungen</w:t>
      </w:r>
    </w:p>
    <w:p>
      <w:r>
        <w:rPr>
          <w:b/>
        </w:rPr>
        <w:t>E. 1</w:t>
      </w:r>
    </w:p>
    <w:p>
      <w:r>
        <w:t>Le recours en matière pénale ( art. 78 al. 1 LTF ) est ouvert contre une décision relative à la détention pour des motifs de sûreté au sens des art. 212 ss CPP . Selon l'art. 81 al. 1 let. a et b ch. 1 LTF, le recourant, renvoyé en jugement devant le Tribunal correctionnel et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Partant, il y a lieu d'entrer en matière.</w:t>
      </w:r>
    </w:p>
    <w:p>
      <w:r>
        <w:rPr>
          <w:b/>
        </w:rPr>
        <w:t>E. 2</w:t>
      </w:r>
    </w:p>
    <w:p>
      <w:r>
        <w:t>Une mesure de détention pour des motifs de sûreté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art. 5 par. 1 let . c CEDH). En tout état de cause, la détention avant jugement ne doit pas durer plus longtemps que la peine privative de liberté prévisible ( art. 212 al. 3 CPP ).</w:t>
      </w:r>
    </w:p>
    <w:p>
      <w:r>
        <w:rPr>
          <w:b/>
        </w:rPr>
        <w:t>E. 3</w:t>
      </w:r>
    </w:p>
    <w:p>
      <w:r>
        <w:t>Le recourant estime que sa mise en détention pour des motifs de sûreté prononcée pour une durée supérieure à six semaines ne serait pas justifiée. L'arrêt attaqué ne contient aucun élément permettant de comprendre en quoi des circonstances exceptionnelles seraient susceptibles de justifier la détention prononcée au-delà de la durée de trois mois prévue à l' art. 227 al. 7 CPP , respectivement les raisons pour lesquelles l'audience de jugement ne pourrait pas avoir lieu à une date antérieure au 24 février 2020.</w:t>
      </w:r>
    </w:p>
    <w:p>
      <w:r>
        <w:rPr>
          <w:b/>
        </w:rPr>
        <w:t>E. 3.1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Après la clôture de l'instruction, le prévenu doit en principe être renvoyé devant le juge du fond dans un délai qui, pour être conforme aux exigences des art. 10 Cst. et 5 par. 3 CEDH, ne devrait pas excéder quelques semaines, voire quelques mois (arrêt 1P.540/2002 du 4 novembre 2002 consid. 4.3). Un délai de plusieurs mois peut se révéler nécessaire dans des procès particulièrement complexes, aux multiples ramifications, impliquant plusieurs inculpés et nécessitant une préparation méticuleuse des débats et de nombreux actes d'instruction; la jurisprudence a ainsi admis, dans ce genre d'affaires, qu'un délai de six à huit mois et demi entre la mise en accusation et l'ouverture des débats était encore conforme au principe de célérité (cf. arrêt 1B_295/2007 du 22 janvier 2008 consid. 2.3; 1B_95/2008 du 14 mai 2008 consid. 5.4). En revanche, en l'absence de circonstances particulières, des délais de sept mois (arrêt 1P.750/1999 du 23 décembre 1999 consid. 2d/ee), respectivement cinq mois et demi s'expliquant uniquement par des motifs d'ordre organisationnel (arrêt 1B_313/2012 du 15 juin 2012 consid. 3.2 in Pra 2012 n. 133 p. 960), ont été jugé incompatibles avec ledit principe alors qu'un délai de quatre mois a encore été considéré comme admissible (arrêt 1B_97/2007 du 20 juin 2007 consid. 3.2).</w:t>
      </w:r>
    </w:p>
    <w:p>
      <w:r>
        <w:t>L'admissibilité du délai entre le renvoi en jugement et les débats doit toutefois être appréciée sans schématisme, au regard de l'ensemble des circonstances particulières de la cause. Dans tous les cas, l'Etat ne peut se prévaloir d'un manque de personnel ou d'une surcharge durable de ses autorités judiciaires; il est tenu de doter ses tribunaux de personnel et de moyens leur permettant de rendre la justice dans des délais appropriés (PIQUEREZ/MACALUSO, Procédure pénale suisse, 3e éd., n° 503 p. 172).</w:t>
      </w:r>
    </w:p>
    <w:p>
      <w:r>
        <w:rPr>
          <w:b/>
        </w:rPr>
        <w:t>E. 3.2</w:t>
      </w:r>
    </w:p>
    <w:p>
      <w:r>
        <w:t>En l'occurrence, aucune circonstance particulière n'a été évoquée par le Tribunal correctionnel pour justifier la fixation de l'audience de jugement le 24 février 2020. La demande du prévenu tendant à ce que l'audience de jugement soit convoquée avant le 20 décembre 2019 a été rejetée également sans autre motivation. Cela ne signifie pas pour autant que le recours devrait être admis et la cause renvoyée au Tribunal correctionnel pour qu'il fixe l'audience de jugement à une date antérieure. On ne saurait déduire de l' art. 227 al. 7 CPP qu'en cas de détention pour des motifs de sûreté, l'audience de jugement ne pourrait pas être fixée au-delà d'un délai de trois mois après le dépôt de l'acte d'accusation. Quant au principe de célérité, il n'est pas établi qu'il ait été violé par la fixation d'une audience de jugement un peu plus de trois mois et demi après la mise en accusation. La Cour de céans a en effet considéré qu'un délai de quatre mois entre le renvoi et le jugement était admissible, même en l'absence de difficultés particulières de la cause, et ne justifiait pas l'élargissement du prévenu à quelques semaines de la date du jugement (cf. arrêt 1B_97/2007 du 20 juin 2007 consid. 3.2; voir aussi arrêt 1B_53/2013 du 21 février 2013 consid. 4, où l'audience de jugement avait été fixée trois mois et demi après la mise en accusation). Il n'en va pas autrement en l'occurrence où la cause concerne un cas de plus grande gravité et où le délai fixé au 24 février 2020, même s'il est à la limite de ce qui peut être admis, est légèrement inférieur à quatre mois. A ce moment, le recourant aura accompli un peu plus d'un an de détention avant jugement, soit une durée qui ne dépasse pas celle de la condamnation susceptible d'être prononcée au regard des accusations portées à son encontre.</w:t>
      </w:r>
    </w:p>
    <w:p>
      <w:r>
        <w:rPr>
          <w:b/>
        </w:rPr>
        <w:t>E. 4</w:t>
      </w:r>
    </w:p>
    <w:p>
      <w:r>
        <w:t>Dans un second grief, le recourant reproche au Tribunal des mesures de contrainte d'avoir violé la présomption d'innocence en présentant comme établis des faits qu'il contestait, alors même que les débats de première instance n'ont pas eu lieu. La Chambre des recours pénale ne se serait pas prononcée sur les griefs développés à ce sujet en violation de son droit à une décision motivée. Il requiert l'annulation de l'ordonnance de première instance pour ce motif.</w:t>
      </w:r>
    </w:p>
    <w:p>
      <w:r>
        <w:t>Ce faisant, le recourant perd de vue que, compte tenu de l'effet dévolutif complet du recours déposé auprès de la Chambre des recours pénale, il ne saurait conclure à l'annulation de l'ordonnance du Tribunal des mesures de contrainte (cf. ATF 136 II 539 consid. 1.2 p. 543; arrêt 1B_768/2012 du 15 janvier 2013 consid. 2.1). Il ne prétend par ailleurs pas que la Chambre des recours pénale aurait elle-même violé la présomption d'innocence en le tenant coupable des infractions à la loi fédérale sur les stupéfiants pour lesquelles il a été renvoyé en jugement. Au demeurant, la Cour de céans a déjà tranché que dans un cas semblable, le prévenu ne pouvait prétendre à ce que le Tribunal fédéral en tant que juge de la détention entre en matière sur des conclusions en constatation de droit et constate l'existence d'une violation de la présomption d'innocence par le Tribunal des mesures de contrainte (cf. arrêt 1B_276/2014 du 2 septembre 2014 consid. 2.5).</w:t>
      </w:r>
    </w:p>
    <w:p>
      <w:r>
        <w:rPr>
          <w:b/>
        </w:rPr>
        <w:t>E. 5</w:t>
      </w:r>
    </w:p>
    <w:p>
      <w:r>
        <w:t>Il s'ensuit que le recours doit être rejeté dans la mesure de sa recevabilité. Le recourant a demandé l'assistance judiciaire et les conditions en paraissent réunies ( art. 64 al. 1 LTF ). Il y a lieu de désigner Me Julien Perrin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