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1B_584/2012 vom 8. Januar 2013</w:t>
      </w:r>
    </w:p>
    <w:p>
      <w:r>
        <w:t>Bundesgericht, 2013-01-08, DE</w:t>
      </w:r>
    </w:p>
    <w:p>
      <w:r>
        <w:rPr>
          <w:b/>
        </w:rPr>
        <w:t xml:space="preserve">Quelle: </w:t>
      </w:r>
      <w:r>
        <w:t>https://mcp.opencaselaw.ch/entscheid/bger_1B_584_2012</w:t>
      </w:r>
    </w:p>
    <w:p>
      <w:r>
        <w:t>FR: TF 1B_584/2012 du 8 janvier 2013</w:t>
      </w:r>
    </w:p>
    <w:p>
      <w:r>
        <w:t>IT: TF 1B_584/2012 del 8 gennaio 2013</w:t>
      </w:r>
    </w:p>
    <w:p>
      <w:pPr>
        <w:pStyle w:val="Heading2"/>
      </w:pPr>
      <w:r>
        <w:t>Erwägungen</w:t>
      </w:r>
    </w:p>
    <w:p>
      <w:r>
        <w:rPr>
          <w:b/>
        </w:rPr>
        <w:t>E. 1</w:t>
      </w:r>
    </w:p>
    <w:p>
      <w:r>
        <w:t>Dem angefochtenen Entscheid liegt eine Nichtanhandnahmeverfügung zugrunde, die das Strafverfahren abschliesst. Angefochten ist ein Endentscheid einer letzten kantonalen Instanz in einer Strafsache, gegen den die Beschwerde in Strafsachen zulässig ist ( Art. 78 Abs. 1, Art. 80 Abs. 1, Art. 90 BGG ).</w:t>
      </w:r>
    </w:p>
    <w:p>
      <w:r>
        <w:rPr>
          <w:b/>
        </w:rPr>
        <w:t>E. 2</w:t>
      </w:r>
    </w:p>
    <w:p>
      <w:r>
        <w:t>Nach Art. 42 Abs. 2 BGG ist in der Begründung einer Beschwerde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Strengere Anforderungen an die Begründung der Beschwerde gelten, wenn die Verletzung von Grundrechten geltend gemacht wird. Dies prüft das Bundesgericht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134 II 244 E. 2.1 und 2.2 S. 245 f. mit Hinweisen).</w:t>
      </w:r>
    </w:p>
    <w:p>
      <w:r>
        <w:t>Die Vorinstanz ist auf die bei ihr eingereichte Beschwerde nicht eingetreten. Sie begründet dies damit, dass die Vorgehensweise des Beschwerdeführers, das heisst die Erstattung einer Strafanzeige gegen eine Person einzig in der Absicht, damit ein anderes Verfahren voranzutreiben, kein schützenswertes Interesse im Sinne von Art. 382 Abs. 1 StPO darstelle. Vielmehr sei ein solches Verhalten als rechtsmissbräuchlich zu qualifizieren. Es gehe nicht an, einzig deshalb, weil der Beschwerdeführer im Verfahren Y.________ offenbar bisher nicht zum Ziel gekommen sei, eine andere Person eines Vergehens zu bezichtigen. Die Fahrtüchtigkeit von Y.________ sei Gegenstand des gegen diesen angestrengten Strafverfahrens.</w:t>
      </w:r>
    </w:p>
    <w:p>
      <w:r>
        <w:t>Der Beschwerdeführer setzt sich mit dieser Begründung des angefochtenen Entscheids nicht substanziiert auseinander, wie dies nach Art. 42 Abs. 2 BGG erforderlich ist. Stattdessen erklärt er, er möge nicht auf die Begründung im angefochtenen Urteil zu sprechen kommen und behauptet ohne weitere Begründung, dass er als mutmassliches Opfer einer irregulären Unfallabwicklung ein elementares Rechtsschutzinteresse habe. Diese Art der Beschwerdeführung genügt den Anforderungen von Art. 42 Abs. 2 BGG nicht. Auf die Beschwerde kann somit nicht eingetreten werden.</w:t>
      </w:r>
    </w:p>
    <w:p>
      <w:r>
        <w:rPr>
          <w:b/>
        </w:rPr>
        <w:t>E. 3</w:t>
      </w:r>
    </w:p>
    <w:p>
      <w:r>
        <w:t>Die Gerichtskosten sind dem unterliegenden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