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582/2019 vom 20. März 2020</w:t>
      </w:r>
    </w:p>
    <w:p>
      <w:r>
        <w:t>Bundesgericht, 2020-03-20, FR</w:t>
      </w:r>
    </w:p>
    <w:p>
      <w:r>
        <w:rPr>
          <w:b/>
        </w:rPr>
        <w:t xml:space="preserve">Quelle: </w:t>
      </w:r>
      <w:r>
        <w:t>https://mcp.opencaselaw.ch/entscheid/bger_1B_582_2019</w:t>
      </w:r>
    </w:p>
    <w:p>
      <w:r>
        <w:t>FR: TF 1B 582/2019 du 20 mars 2020</w:t>
      </w:r>
    </w:p>
    <w:p>
      <w:r>
        <w:t>IT: TF 1B 582/2019 del 20 marzo 2020</w:t>
      </w:r>
    </w:p>
    <w:p>
      <w:pPr>
        <w:pStyle w:val="Heading2"/>
      </w:pPr>
      <w:r>
        <w:t>Regeste</w:t>
      </w:r>
    </w:p>
    <w:p>
      <w:r>
        <w:t>Procédure pénale; interdiction de postuler de l'avocat | Procédure pénale</w:t>
      </w:r>
    </w:p>
    <w:p>
      <w:pPr>
        <w:pStyle w:val="Heading2"/>
      </w:pPr>
      <w:r>
        <w:t>Erwägungen</w:t>
      </w:r>
    </w:p>
    <w:p>
      <w:r>
        <w:rPr>
          <w:b/>
        </w:rPr>
        <w:t>E. 1</w:t>
      </w:r>
    </w:p>
    <w:p>
      <w:r>
        <w:t>Le recours est dirigé contre une décision prise en dernière instance cantonale ( art. 80 LTF ), interdisant au recourant B.________ de représenter le prévenu recourant dans la procédure pénale P/17386/2018. Le recours est donc en principe recevable comme un recours en matière pénale au sens des art. 78 ss LTF (arrêts 1B_510/2018 du 14 mars 2019 consid. 1 non publié aux ATF 145 IV 218 ; 1B_209/2019 du 19 septembre 2019 consid. 2.2). Le prononcé relatif à une interdiction de procéder constitue une décision incidente susceptible de causer un préjudice irréparable ( art. 93 al. 1 let. a LTF ) puisqu'il prive définitivement le prévenu recourant de pouvoir choisir son avocat ( art. 127 al. 1 CPP ; arrêt 1B_510/2018 du 14 mars 2019 consid. 1 non publié in ATF 145 IV 218 ). Le recours de l'avocat est également recevable, la décision attaquée présentant, pour lui, un caractère final (arrêts 1B_354/2016 du 1er novembre 2016 consid. 1; 1B_226/2016 du 15 septembre 2016 consid. 1). Destinataires de la décision attaquée, les deux recourants - qui se prévalent d'une violation de l' art. 12 let . c LLCA - disposent chacun de la qualité pour recourir ( art. 81 al. 1 let. a et b LTF ). Pour le surplus, le recours a été déposé en temps utile ( art. 100 al. 1 LTF ) et les conclusions prises sont recevables ( art. 107 al. 2 LTF ). Partant, il y a lieu d'entrer en matière.</w:t>
      </w:r>
    </w:p>
    <w:p>
      <w:r>
        <w:rPr>
          <w:b/>
        </w:rPr>
        <w:t>E. 2</w:t>
      </w:r>
    </w:p>
    <w:p>
      <w:r>
        <w:t>Selon l' art. 99 al. 1 LTF , aucun fait nouveau ni preuve nouvelle ne peut être présenté à moins de résulter de la décision de l'autorité précédente. En l'espèce, sont irrecevables les pièces produites par le recourant qui sont postérieures à l'arrêt attaqué (courriers du 13 et 29 novembre et 2 décembres 2019; mandats de comparution du 20 novembre 2019). Quant à l'arrêt de la Cour de justice daté du 12 juin 2019, il est expressément mentionné dans l'état de fait de l'arrêt entrepris.</w:t>
      </w:r>
    </w:p>
    <w:p>
      <w:r>
        <w:rPr>
          <w:b/>
        </w:rPr>
        <w:t>E. 3</w:t>
      </w:r>
    </w:p>
    <w:p>
      <w:r>
        <w:t>Les recourants se plaignent d'une constatation inexacte des faits.</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137 II 353 consid. 5.1 p. 356).</w:t>
      </w:r>
    </w:p>
    <w:p>
      <w:r>
        <w:rPr>
          <w:b/>
        </w:rPr>
        <w:t>E. 3.2</w:t>
      </w:r>
    </w:p>
    <w:p>
      <w:r>
        <w:t>Les recourants font grief à l'instance précédente de ne pas avoir constaté que le Ministère public était au courant de l'existence depuis le 19 décembre 2018 de ces deux mandats. Ils ajoutent que cet élément de fait était essentiel pour apprécier la question de la violation du principe de la bonne foi par le Ministère public et que, en refusant de le constater, l'instance précédente a violé leur droit d'être entendus. Il n'y a toutefois pas lieu de compléter sur ce point l'état de fait retenu par l'instance précédente dès lors que cet élément de fait n'est pas, pour les motifs exposés ci-dessous (consid. 4), susceptible d'influer sur le sort de la cause. Cette critique est dès lors irrecevable. Les recourants soutiennent ensuite que l'instance précédente a retenu de manière insoutenable que les courriels mis sous scellés pourraient avoir un contenu pertinent pour la défense des intérêts de A.________ dans la procédure nationale, mais encore que C.________ avait adopté un comportement contradictoire en tant qu'il avait demandé la mise sous scellés de documents tout en déliant Me B.________ de son secret professionnel. Ces griefs seront examinés ci-dessous avec celui tiré de la violation de l' art. 12 LLCA (consid. 5).</w:t>
      </w:r>
    </w:p>
    <w:p>
      <w:r>
        <w:rPr>
          <w:b/>
        </w:rPr>
        <w:t>E. 4</w:t>
      </w:r>
    </w:p>
    <w:p>
      <w:r>
        <w:t>Les recourants invoquent une violation du principe de la bonne foi ancré à l' art. 9 Cst. au terme duquel " toute personne a le droit d'être traitée par les organes de l'État sans arbitraire et conformément aux règles de la bonne foi ". Leur critique est vaine. Ils méconnaissent que l'autorité en charge de la procédure statue d'office et en tout temps sur la capacité de postuler d'un mandataire professionnel. L'hypothèse d'un conflit d'intérêts peut en effet survenir au cours de la procédure, notamment en raison de son évolution ou d'un changement de circonstances ( ATF 141 IV 257 consid. 2.2 p. 261 s.). La question de savoir si l'autorité aurait pu constater plus tôt l'existence d'un tel conflit n'est pas déterminante. Il sied à cet égard de relever qu'il appartient également à l'avocat, si un conflit d'intérêts surgit, de mettre fin au mandat, quand bien même la ou les parties auraient exprimé leur consentement à la poursuite de la représentation (MICHEL VALTICOS, in: Commentaire romand, Loi sur les avocats, 2010, no 184 ad art. 12 LLCA ).</w:t>
      </w:r>
    </w:p>
    <w:p>
      <w:r>
        <w:rPr>
          <w:b/>
        </w:rPr>
        <w:t>E. 5</w:t>
      </w:r>
    </w:p>
    <w:p>
      <w:r>
        <w:t>Invoquant une violation de l' art. 12 LLCA , les recourants font grief à l'instance précédente d'avoir considéré que Me B.________ ne pouvait postuler à la défense des intérêts du prévenu recourant dans la procédure nationale. A leurs yeux, il n'existerait en l'espèce aucun conflit d'intérêt que ce soit sous l'angle de la double représentation ou de mandats opposés, comme le confirmerait l'avis de droit établi par le Professeur Nicolas Jeandin.</w:t>
      </w:r>
    </w:p>
    <w:p>
      <w:r>
        <w:rPr>
          <w:b/>
        </w:rPr>
        <w:t>E. 5.1</w:t>
      </w:r>
    </w:p>
    <w:p>
      <w:r>
        <w:t>L'autorité en charge de la procédure statue d'office et en tout temps sur la capacité de postuler d'un mandataire professionnel ( ATF 141 IV 257 consid. 2.2 p. 261; arrêt 1B_149/2013 du 5 septembre 2013 consid. 2.4.2). En effet, l'interdiction de postuler dans un cas concret - à distinguer d'une suspension provisoire ou définitive - ne relève en principe pas du droit disciplinaire, mais du contrôle du pouvoir de postuler de l'avocat ( ATF 138 II 162 consid. 2.5.1 p. 168; arrêt 1B_226/2016 du 15 septembre 2016 consid. 2). Dans les règles relatives aux conseils juridiques, l' art. 127 al. 4 CPP réserve la législation sur les avocats. L' art. 12 let . c LLCA prescrit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141 IV 257 consid. 2.1 p. 260; 134 II 108 consid. 3 p. 109 s.). Elle doit également être abordée en relation avec l' art. 13 LLCA qui a trait au secret professionnel de l'avocat ( ATF 145 IV 218 consid. 2.1 p. 221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145 IV 218 consid. 2.1 p. 221; 141 IV 257 consid. 2.1 p. 260).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141 IV 257 consid. 2.1 p. 260).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 ATF 145 IV 218 consid. 2.1 p. 222 et les références citées). Le devoir de fidélité exclut a fortiori que l'avocat procède contre un client actuel ( ATF 145 IV 218 consid. 2.1 p. 222 s.; 134 II 108 consid. 5.2 p. 115).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(arrêts 1B_59/2018 du 31 mai 2018 consid. 2.4; 1B_20/2017 du 23 février 2017 consid. 3.1). Dès que le conflit d'intérêts survient, l'avocat doit mettre fin à la représentation ( ATF 135 II 145 consid. 9.1 p. 154 s.; 134 II 108 consid. 4.2.1 p. 112). Il y a notamment violation de l' art. 12 let .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 ATF 134 II 108 consid. 3 p. 110). Il y a aussi conflit d'intérêts au sens de la disposition susmentionnée dès que survient la possibilité d'utiliser, consciemment ou non, dans un nouveau mandat les connaissances acquises antérieurement, sous couvert du secret professionnel, dans l'exercice d'un mandat antérieur ( ATF 145 IV 218 consid. 2.1 p. 223; arrêts 1B_209/2019 du 19 septembre 2019 consid. 4.1; 2C_898/2018 du 30 janvier 2019 consid. 5.2).</w:t>
      </w:r>
    </w:p>
    <w:p>
      <w:r>
        <w:rPr>
          <w:b/>
        </w:rPr>
        <w:t>E. 5.2</w:t>
      </w:r>
    </w:p>
    <w:p>
      <w:r>
        <w:t>Selon les constatations de l'instance précédente, qui lient la cour de céans (cf. art. 105 al. 1 LTF ), Me B.________ a assuré la défense des intérêts de C.________ dans la procédure d'entraide, de novembre 2018 à octobre 2019 et, depuis décembre 2018, il représente A.________ dans l'affaire nationale, cause où ce dernier revêt, à l'instar de C.________, le statut de prévenu. Il ressort de l'arrêt entrepris que Me B.________ a eu accès à l'intégralité des messages électroniques de C.________ qui ont été saisis à son domicile et sur son poste de travail chez I.________ SA, dans le cadre de la procédure d'entraide (CP/223/2018). L'instance précédente a d'ailleurs retenu - sans que cela ne soit contesté - que, de l'aveu même de ce conseil, certains de ces messages concernaient la procédure nationale. L'instance précédente pouvait retenir que Me B.________ pourrait avoir pris connaissance, dans le cadre de ce premier mandat, d'éléments qui ne figureront pas dans la procédure nationale dès lors notamment que R.________ avait sollicité et obtenu pour cette procédure la mise sous scellés des courriels issus de la procédure d'entraide pénale. Il existe ainsi la possibilité que cet avocat utilise, dans le cadre de son nouveau mandat, consciemment ou non, des connaissances acquises sous couvert du secret professionnel. Le fait que C.________ aurait délié Me B.________ de son secret professionnel n'est à cet égard pas déterminant. L'instance précédente pouvait d'ailleurs sur ce point considérer, quoi qu'en pensent les recourants, que C.________ avait adopté une position contradictoire puisqu'il avait allégué, par l'intermédiaire de Me B.________, qu'il autorisait ce dernier à se prévaloir dans la procédure nationale d'élément connus le concernant résultant de la procédure d'entraide, tout en requérant parallèlement, par l'intermédiaire de Mes P.________ et Q.________, la mise sous scellés d'une partie de ces mêmes éléments lors de leur apport à la procédure nationale. On ne saurait en outre affirmer, comme le font les recourants, qu'aucune des informations obtenues dans le cadre du premier mandat sous couvert du secret professionnel, ne pourraient être utiles dans la procédure nationale à la défense des intérêts de A.________. Par ailleurs, l'instance précédente a certes retenu que les co-prévenus C.________, A.________ et J.________ avaient contesté les faits qui leur étaient reprochés, déclarant de façon globalement convergente que K.________ avait reçu les actions litigieuses en contrepartie du versement d'une importante somme d'argent qu'elle avait remise à O.________ SA en 2011 et que N.________ Ltd s'était donc limitée à formaliser la position économique que la première de ces sociétés détenait, de facto, déjà dans la seconde. L'instance précédente n'a toutefois pas affirmé que leurs versions des faits étaient complètement identiques. Il ressort par ailleurs des constatations de l'instance précédente et du Ministère public que l'implication des co-prévenus dans les faits qui leur sont reprochés diffère, ce qui n'est pas contesté par les recourants. Compte tenu de leur implication différente et de leur positions respectives au sein des entités concernées, il est possible qu'en cas d'admission de la thèse de l'accusation, l'un ou l'autre des prévenus ne soit tenté de minimiser sa participation ou de charger ses co-prévenus au gré des développements ultérieurs de la procédure (cf. arrêt 1B_602/2019 du 5 février 2020 consid. 2.2; cf. également arrêt 1B_263/2016 du 4 octobre 2016 consid. 2.2). Dans ces circonstances, le risque de conflit d'intérêts peut être qualifié de concret. Il apparaît d'autant plus évident que, comme constaté par l'instance précédente, Me B.________ a été - potentiellement à l'époque des faits litigieux - et semble encore être aujourd'hui l'avocat de la société I.________ SA et qu'il a ainsi pu acquérir par l'intermédiaire de diverses personnes, des informations relatives à C.________ - dont cet avocat n'aurait pas pu avoir connaissance autrement - susceptibles d'être utilisées en faveur de A.________.</w:t>
      </w:r>
    </w:p>
    <w:p>
      <w:r>
        <w:rPr>
          <w:b/>
        </w:rPr>
        <w:t>E. 5.3</w:t>
      </w:r>
    </w:p>
    <w:p>
      <w:r>
        <w:t>Au regard du risque concret de conflit d'intérêts, la Cour de justice n'a pas violé le droit fédéral, ni a fortiori fait preuve d'arbitraire, en confirmant l'interdiction de postuler prononcée par le Ministère public et ce grief peut être écarté.</w:t>
      </w:r>
    </w:p>
    <w:p>
      <w:r>
        <w:rPr>
          <w:b/>
        </w:rPr>
        <w:t>E. 6</w:t>
      </w:r>
    </w:p>
    <w:p>
      <w:r>
        <w:t>Il s'ensuit que le recours doit être rejeté, dans la mesure où il est recevable. Les recourants, qui succombent, supportent solidairement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