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1B_581/2019 vom 6. Mai 2020</w:t>
      </w:r>
    </w:p>
    <w:p>
      <w:r>
        <w:t>Bundesgericht, 2020-05-06, FR</w:t>
      </w:r>
    </w:p>
    <w:p>
      <w:r>
        <w:rPr>
          <w:b/>
        </w:rPr>
        <w:t xml:space="preserve">Quelle: </w:t>
      </w:r>
      <w:r>
        <w:t>https://mcp.opencaselaw.ch/entscheid/bger_1B_581_2019</w:t>
      </w:r>
    </w:p>
    <w:p>
      <w:r>
        <w:t>FR: TF 1B_581/2019 du 6 mai 2020</w:t>
      </w:r>
    </w:p>
    <w:p>
      <w:r>
        <w:t>IT: TF 1B_581/2019 del 6 maggio 2020</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L'arrêt attaqué, qui confirme le séquestre ordonné au cours d'une procédure pénale, est un prononcé rendu en matière pénale susceptible d'un recours au sens de l' art. 78 al. 1 LTF .</w:t>
      </w:r>
    </w:p>
    <w:p>
      <w:r>
        <w:rPr>
          <w:b/>
        </w:rPr>
        <w:t>E. 1.2</w:t>
      </w:r>
    </w:p>
    <w:p>
      <w:r>
        <w:t>En tant que propriétaire de la part PPE saisie, la recourante peut se prévaloir d'un intérêt juridique à obtenir l'annulation ou la modification de cette décision, de sorte qu'elle dispose de la qualité pour recourir au sens de l' art. 81 al. 1 LTF ( ATF 133 IV 278 consid. 1.3 p. 282 s.; arrêt 1B_343/2019 du 23 janvier 2020 consid. 1). Cela étant, vu la nouvelle demande de levée du séquestre concerné par la présente procédure déposée le 6 avril 2020 auprès du Ministère public, la question d'un intérêt toujours actuel et pratique à obtenir la modification de l'arrêt entrepris pourrait se poser.</w:t>
      </w:r>
    </w:p>
    <w:p>
      <w:r>
        <w:t>Quant au recourant, il ne prétend pas être le propriétaire de la part de PPE saisie (cf. l'extrait du Registre foncier du 17 mai 2018) et ne développe aucune argumentation dans le mémoire de recours afin d'étayer sa qualité pour recourir (cf. p. 2 de cette écriture), ce qui est contraire à ses obligations en matière de motivation ( art. 42 al. 2 LTF ). Il s'ensuit qu'en tant que le recours le concerne, il est irrecevable.</w:t>
      </w:r>
    </w:p>
    <w:p>
      <w:r>
        <w:rPr>
          <w:b/>
        </w:rPr>
        <w:t>E. 1.3</w:t>
      </w:r>
    </w:p>
    <w:p>
      <w:r>
        <w:t>Pour le surplus, en tant que propriétaire du bien saisi, la recourante se trouve privée temporairement de la libre disposition de celui-ci, ce qui constitue un préjudice irréparable au sens de l' art. 93 al. 1 let. a LTF ( ATF 128 I 129 consid. 1 p. 131). Le recours a été formé en temps utile ( art. 100 al. 1 LTF ) contre une décision rendue en dernière instance cantonale ( art. 80 LTF ) et les conclusions présentées - qui tendent en substance à obtenir la levée du séquestre ordonné sur la part de PPE saisie - sont recevables au regard de l' art. 107 al. 2 LTF .</w:t>
      </w:r>
    </w:p>
    <w:p>
      <w:r>
        <w:rPr>
          <w:b/>
        </w:rPr>
        <w:t>E. 1.4</w:t>
      </w:r>
    </w:p>
    <w:p>
      <w:r>
        <w:t>Eu égard à l'issue du litige, la question de la recevabilité de l'acte notarié signé en avril 2018, produit pour la première fois devant le Tribunal fédéral, peut rester indécise. Cette production paraît cependant tendre avant tout à pallier le défaut d'information retenu par la cour cantonale à l'encontre de la recourante s'agissant des modalités d'acquisition de la part de PPE litigieuse, motif qui ne saurait en principe justifier l'application des exceptions prévues par l' art. 99 al. 1 LTF (sur celles-ci, voir ATF 143 V 19 consid. 1.2 p. 22 s.; 136 III 123 consid. 4.4.3 p. 128 s.).</w:t>
      </w:r>
    </w:p>
    <w:p>
      <w:r>
        <w:t>S'agissant en revanche des pièces produites avec les écritures du 6 avril 2020, l'expertise est datée du 23 mars 2020 et le courrier de la mandataire du 6 avril suivant. Étant ultérieures à l'arrêt attaqué, elles sont irrecevables ( art. 99 al. 1 LTF ).</w:t>
      </w:r>
    </w:p>
    <w:p>
      <w:r>
        <w:rPr>
          <w:b/>
        </w:rPr>
        <w:t>E. 1.5</w:t>
      </w:r>
    </w:p>
    <w:p>
      <w:r>
        <w:t>Dans les limites susmentionnées, il y a lieu d'entrer en matière.</w:t>
      </w:r>
    </w:p>
    <w:p>
      <w:r>
        <w:rPr>
          <w:b/>
        </w:rPr>
        <w:t>E. 2</w:t>
      </w:r>
    </w:p>
    <w:p>
      <w:r>
        <w:t>La recourante reproche un établissement arbitraire des faits, respectivement conteste l'appréciation effectuée par l'autorité précédente, notamment en lien avec l'existence de soupçons de la commission d'infractions.</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145 IV 154 consid. 1.1 p. 155 s.; 143 IV 500 consid. 1.1 p. 503).</w:t>
      </w:r>
    </w:p>
    <w:p>
      <w:r>
        <w:rPr>
          <w:b/>
        </w:rPr>
        <w:t>E. 2.2</w:t>
      </w:r>
    </w:p>
    <w:p>
      <w:r>
        <w:t>Dans ses considérants (cf. consid. 2.3 p. 8 s. de l'arrêt attaqué), la cour cantonale a retenu qu'il était clair que les prévenus avaient délibérément tout fait pour brouiller les pistes et que les apparences étaient contre eux s'agissant de la diminution des actifs de leur société avant la faillite. Ce faisant, elle a fait en substance sien le contenu du rapport du 27 mars 2019 de la police - rappelé dans les faits (cf. ad A/c p. 2 s. du jugement entrepris) - qui retient notamment en conclusion qu'un montant de 550'000 fr. pourrait avoir été versé en trop à G.________ Sàrl, occasionnant ainsi un manque pour les créanciers de E.________ SA.</w:t>
      </w:r>
    </w:p>
    <w:p>
      <w:r>
        <w:t>Ce raisonnement peut être confirmé, la recourante ne développant d'ailleurs aucune argumentation propre à le remettre en cause. Il ne lui suffit pas en effet de contester la commission des infractions reprochées et/ou de substituer sa propre appréciation des faits à celle de l'autorité précédente pour démontrer que le raisonnement tenu serait arbitraire (cf. en particulier ses explications en lien avec la quotité de la facture d'honoraires de G.________ Sàrl, le défaut allégué de stratagème tendant à repousser la faillite de la société E.________ SA et la prétendue absence de liens particuliers avec F.________ SA). Celui-ci peut d'autant plus être confirmé qu'on ne saurait omettre la double casquette des prévenus, à savoir administrateurs-actionnaires de la société faillie et gérants de G.________ Sàrl; ils étaient ainsi au courant de la transaction judiciaire signée en janvier 2015 mettant une créance de 2'200'000 fr. à la charge de E.________ SA, respectivement les bénéficiaires du versement opéré par cette dernière en octobre 2016 en faveur de G.________ Sàrl (656'170 fr. 35).</w:t>
      </w:r>
    </w:p>
    <w:p>
      <w:r>
        <w:t>La chronologie des événements ne peut d'ailleurs pas non plus être ignorée : ainsi, deux mois après la signature de la transaction (janvier 2015), G.________ Sàrl adresse à E.________ SA sa note d'honoraires de 656'170 fr. (mars 2015); celle-ci n'est cependant acquittée qu'en octobre 2016, soit a priori juste après le versement du prix de vente pour le lot 4000-6 (1'751'000 fr.). Quant aux lots faisant l'objet de la plainte, ils ont été vendus le 2 juin 2017 à un prix inférieur de près de la moitié de celui préalablement convenu avec la partie plaignante (3'750'000 fr. contre 6'730'000 fr.) et, le 6 juillet suivant, la faillite de la société E.________ SA a été prononcée, soit quelques jours après l'échéance du paiement qui aurait dû intervenir en faveur de la partie plaignante (cf. la transaction judiciaire de janvier 2015 prévoyant un paiement dans les 30 jours du montant convenu - 2'200'000 fr. - en cas de vente préalable au 31 janvier 2018).</w:t>
      </w:r>
    </w:p>
    <w:p>
      <w:r>
        <w:t>Dans le cadre d'un séquestre où l'autorité statue sous l'angle de la vraisemblance et ne saurait résoudre des questions complexes ( ATF 141 IV 360 consid. 3.2 p. 364), il ne peut ainsi être reproché à la cour cantonale de n'avoir pas examiné et/ou instruit les problématiques de postposition, les normes applicables aux prestations effectuées par G.________ Sàrl (Code des obligations et/ou normes SIA), les éventuelles pertes financières pour les prévenus à la suite de la faillite de E.________ SA et/ou l'ensemble des mouvements financiers des différentes sociétés entrant en considération, respectivement de ne pas avoir déterminé le montant des éventuelles soustractions commises. En limitant son examen aux griefs pertinents pour l'issue de la cause, l'autorité précédente ne viole pas non plus le droit d'être entendue de la recourante.</w:t>
      </w:r>
    </w:p>
    <w:p>
      <w:r>
        <w:t>Les éléments précités - dont la chronologie et le statut des prévenus dans les deux sociétés - permettent de retenir à ce stade de la procédure que les actifs de la société E.________ SA pourraient avoir été diminués afin de léser ses créanciers. Partant, la cour cantonale pouvait, sans arbitraire, retenir l'existence de soupçons suffisants de la commission d'infractions (cf. art. 197 al. 1 let. b CPP ).</w:t>
      </w:r>
    </w:p>
    <w:p>
      <w:r>
        <w:rPr>
          <w:b/>
        </w:rPr>
        <w:t>E. 2.3</w:t>
      </w:r>
    </w:p>
    <w:p>
      <w:r>
        <w:t>La recourante conteste encore l'existence d'un lien de connexité entre l'éventuel produit des infractions et l'achat de la part de PPE à U.________.</w:t>
      </w:r>
    </w:p>
    <w:p>
      <w:r>
        <w:t>Aux éléments chronologiques précités s'ajoute l'important paiement en décembre 2016 de la part de G.________ Sàrl en faveur de la recourante à titre d'arriérés de salaires depuis 2013 (561'076 fr.). La recourante ne prétend pas que la possibilité d'effectuer ce virement par G.________ Sàrl ne résulterait pas du montant conséquent reçu en octobre 2016 de E.________ SA (656'170 fr.); cette somme - qui enrichit la première société précitée - appauvrissait d'autant la seconde, réduisant ainsi ses possibilités de s'acquitter de ses autres créances notamment à leur échéance. La recourante ne conteste ensuite pas avoir utilisé un montant de 317'400 fr. pour acquérir une part de la PPE (cf. arrêt 6B_1000/2019 du 19 février 2020 consid. 13.1).</w:t>
      </w:r>
    </w:p>
    <w:p>
      <w:r>
        <w:t>Partant, vu l'existence en l'état d'un lien de connexité entre les infractions reprochées et la part de PPE, la cour cantonale pouvait, sans violer le droit fédéral, confirmer le séquestre en vue de la confiscation ( art. 263 al. 1 let . d CPP et 70 al. 1 CP; sur cette seconde disposition, voir en particulier ATF 144 IV 285 consid. 2.2 p. 286 s., 1 consid. 4.2.1 p. 7; 141 IV 155 consid. 4.1 p. 162 s.).</w:t>
      </w:r>
    </w:p>
    <w:p>
      <w:r>
        <w:rPr>
          <w:b/>
        </w:rPr>
        <w:t>E. 2.4</w:t>
      </w:r>
    </w:p>
    <w:p>
      <w:r>
        <w:t>Invoquant notamment l' art. 26 Cst. , la recourante se plaint encore en substance que le séquestre de l'ensemble du lot violerait le principe de proportionnalité. Elle aurait en effet acquis une part par succession, une autre par donation entre vifs de sa mère et seule la part de sa soeur aurait été achetée pour 317'400 fr.; il en découlerait que le séquestre ne pourrait pas porter sur l'entier du lot. La recourante reproche également à l'autorité précédente de ne pas avoir instruit cette problématique.</w:t>
      </w:r>
    </w:p>
    <w:p>
      <w:r>
        <w:t>A cet égard, la cour cantonale a relevé que les moyens avancés par les prévenus au cours de la procédure de recours - extraits du Registre foncier des 27 juin 2016 et 17 mai 2018 - ne permettaient pas de savoir comment la recourante avait procédé avec sa mère et sa soeur, étant ainsi vraisemblable que le montant de 317'400 fr. ait également servi à obtenir la part de sa mère; quoi qu'il en soit, il ne paraissait pas disproportionné de séquestrer tout le lot, la valeur totale - non établie à ce stade - ne devant pas être beaucoup plus élevée (cf. consid. 2.3 p. 9 de l'arrêt attaqué).</w:t>
      </w:r>
    </w:p>
    <w:p>
      <w:r>
        <w:t>Ce raisonnement peut être confirmé, même s'il permet un séquestre a priori supérieur au montant de 317'400 francs. Indépendamment de l'acte notarié produit - qui confirme tout au plus que l'acquisition portait sur la part de sa soeur, augmentée de celle reçue gratuitement de leur mère (au total une demi) -, la recourante ne prétend pas avoir apporté la moindre démonstration de la valeur du bien dans son ensemble devant l'instance précédente; elle ne le fait d'ailleurs toujours pas devant le Tribunal fédéral. En particulier, elle ne saurait se contenter de relever, au demeurant uniquement dans ses observations du 11 février 2020 (cf. p. 7), l'estimation fiscale indiquée - au conditionnel - par le Ministère public dans son courrier du 2 novembre 2018 pour venir étayer ses dires. A ce stade, il n'est ainsi pas d'emblée évident que le séquestre ordonné violerait manifestement le principe de proportionnalité eu égard au montant saisi ( ATF 141 IV 360 consid. 3.2 p. 364). Le Ministère public ne manquera cependant pas, le cas échéant, d'étayer cette question et/ou les buts du séquestre ordonné.</w:t>
      </w:r>
    </w:p>
    <w:p>
      <w:r>
        <w:rPr>
          <w:b/>
        </w:rPr>
        <w:t>E. 2.5</w:t>
      </w:r>
    </w:p>
    <w:p>
      <w:r>
        <w:t>Il découle des considérations précédentes que l'autorité cantonale pouvait, sans violer le droit fédéral ou procéder de manière arbitraire, confirmer le séquestre de la part de PPE détenue sur la commune de U.________ par la recourante.</w:t>
      </w:r>
    </w:p>
    <w:p>
      <w:r>
        <w:rPr>
          <w:b/>
        </w:rPr>
        <w:t>E. 3</w:t>
      </w:r>
    </w:p>
    <w:p>
      <w:r>
        <w:t>Il s'ensuit que le recours est rejeté dans la mesure où il est recevable.</w:t>
      </w:r>
    </w:p>
    <w:p>
      <w:r>
        <w:t>Les recourants, qui succombent, supportent solidairement les frais judiciaires ( art. 66 al. 1 LTF ). L'intimée, qui procède avec l'assistance d'un avocat, a droit à des dépens à la charge des recourants, solidairement entre eux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