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580/2011 vom 10. Januar 2012</w:t>
      </w:r>
    </w:p>
    <w:p>
      <w:r>
        <w:t>Bundesgericht, 2012-01-10, FR</w:t>
      </w:r>
    </w:p>
    <w:p>
      <w:r>
        <w:rPr>
          <w:b/>
        </w:rPr>
        <w:t xml:space="preserve">Quelle: </w:t>
      </w:r>
      <w:r>
        <w:t>https://mcp.opencaselaw.ch/entscheid/bger_1B_580_2011</w:t>
      </w:r>
    </w:p>
    <w:p>
      <w:r>
        <w:t>FR: TF 1B 580/2011 du 10 janvier 2012</w:t>
      </w:r>
    </w:p>
    <w:p>
      <w:r>
        <w:t>IT: TF 1B 580/2011 del 10 gennaio 2012</w:t>
      </w:r>
    </w:p>
    <w:p>
      <w:pPr>
        <w:pStyle w:val="Heading2"/>
      </w:pPr>
      <w:r>
        <w:t>Regeste</w:t>
      </w:r>
    </w:p>
    <w:p>
      <w:r>
        <w:t>séquestre pénal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La décision par laquelle le juge ordonne ou maintient un séquestre pénal constitue une décision incidente ( ATF 128 I 129 consid. 1 p. 131; 126 I 97 consid. 1b p. 100 et les références). Le recours n'est dès lors recevable qu'aux conditions de l' art. 93 al. 1 LTF , soit notamment en présence d'un préjudice irréparable ( art. 93 al. 1 let. a LTF ; l'hypothèse prévue à l' art. 93 al. 1 let. b LTF est manifestement inapplicable). Le préjudice est irréparable lorsqu'il n'est pas susceptible d'être supprimé par une décision ultérieure favorable au recourant. Un dommage de pur fait n'est pas considéré comme tel ( ATF 126 IV 92 consid. 4 p. 95). Il appartient à la partie recourante d'alléguer et d'établir la possibilité que la décision incidente lui cause un dommage irréparable, à moins que celui-ci ne fasse d'emblée aucun doute ( ATF 137 III 324 consid. 1.1, 136 IV 92 consid. 4.2).</w:t>
      </w:r>
    </w:p>
    <w:p>
      <w:r>
        <w:rPr>
          <w:b/>
        </w:rPr>
        <w:t>E. 1.2</w:t>
      </w:r>
    </w:p>
    <w:p>
      <w:r>
        <w:t>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89 I 185 consid. 4 p. 187 et les références). En revanche, lorsque le séquestre concerne d'autres objets ou documents, il n'y a en principe pas (sauf démonstration contraire du recourant) de préjudice irréparable ( ATF 136 IV 92 concernant la saisie de documents bancaires; en dernier lieu 5A_509/2011 du 18 octobre 2011 destiné à la publication, consid. 1.2.3 s'agissant de l'inscription provisoire d'une hypothèque légale).</w:t>
      </w:r>
    </w:p>
    <w:p>
      <w:r>
        <w:rPr>
          <w:b/>
        </w:rPr>
        <w:t>E. 1.3</w:t>
      </w:r>
    </w:p>
    <w:p>
      <w:r>
        <w:t>Le recourant ne donne aucune indication à ce sujet. Il ne dit pas avoir un quelconque besoin de l'ordinateur séquestré, soit en tant qu'outil de travail, soit parce qu'il s'y trouverait des fichiers ou des programmes dont il aurait absolument besoin. Le simple fait que l'ordinateur puisse servir de moyen de preuve ou qu'il puisse être ultérieurement confisqué est évidemment insuffisant. Faute de toute démonstration sur l'existence d'un préjudice irréparable, le recours apparaît irrecevable.</w:t>
      </w:r>
    </w:p>
    <w:p>
      <w:r>
        <w:rPr>
          <w:b/>
        </w:rPr>
        <w:t>E. 2</w:t>
      </w:r>
    </w:p>
    <w:p>
      <w:r>
        <w:t>A supposer qu'il faille entrer en matière, le recours serait de toute façon mal fondé.</w:t>
      </w:r>
    </w:p>
    <w:p>
      <w:r>
        <w:rPr>
          <w:b/>
        </w:rPr>
        <w:t>E. 2.1</w:t>
      </w:r>
    </w:p>
    <w:p>
      <w:r>
        <w:t>Le séquestre contesté est fondé sur l' art. 263 CPP , disposition selon laquelle les objets et les valeurs patrimoniales appartenant au prévenu ou à des tiers peuvent être séquestrés notamment lorsqu'il est probable qu'ils seront utilisés comme moyens de preuve (let. a) ou qu'ils devront être confisqués (let. d). Une telle mesure est fondée sur la vraisemblance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w:t>
      </w:r>
    </w:p>
    <w:p>
      <w:r>
        <w:rPr>
          <w:b/>
        </w:rPr>
        <w:t>E. 2.2</w:t>
      </w:r>
    </w:p>
    <w:p>
      <w:r>
        <w:t>En l'occurrence, l'autorité de poursuite estime que l'ordinateur saisi aurait pu servir à commettre des infractions, car le recourant aurait créé un "site miroir", aurait apporté des modifications au site litigieux et en aurait prolongé l'hébergement. Les questions de savoir dans quelle mesure l'ordinateur a réellement été utilisé dans ce but, si la création d'un "site miroir" constitue un nouvel acte punissable et si l'identité du plaignant y est encore reconnaissable malgré l'emploi de pseudonymes, devront encore être résolues dans le cours ultérieur de l'instruction. En l'état, l'ordinateur du recourant constitue à tout le moins un moyen de preuve et peut être séquestré à ce titre.</w:t>
      </w:r>
    </w:p>
    <w:p>
      <w:r>
        <w:rPr>
          <w:b/>
        </w:rPr>
        <w:t>E. 3</w:t>
      </w:r>
    </w:p>
    <w:p>
      <w:r>
        <w:t>Sur le vu de ce qui précède, le recours doit être rejeté, en tant qu'il est recevable. Le recourant a demandé l'assistance judiciaire, et celle-ci peut lui être accordée. Me Alain Dubuis est désigné comme défenseur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