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1B_57/2020 vom 6. Februar 2020</w:t>
      </w:r>
    </w:p>
    <w:p>
      <w:r>
        <w:t>Bundesgericht, 2020-02-06, DE</w:t>
      </w:r>
    </w:p>
    <w:p>
      <w:r>
        <w:rPr>
          <w:b/>
        </w:rPr>
        <w:t xml:space="preserve">Quelle: </w:t>
      </w:r>
      <w:r>
        <w:t>https://mcp.opencaselaw.ch/entscheid/bger_1B_57_2020</w:t>
      </w:r>
    </w:p>
    <w:p>
      <w:r>
        <w:t>FR: TF 1B_57/2020 du 6 février 2020</w:t>
      </w:r>
    </w:p>
    <w:p>
      <w:r>
        <w:t>IT: TF 1B_57/2020 del 6 febbraio 2020</w:t>
      </w:r>
    </w:p>
    <w:p>
      <w:pPr>
        <w:pStyle w:val="Heading2"/>
      </w:pPr>
      <w:r>
        <w:t>Erwägungen</w:t>
      </w:r>
    </w:p>
    <w:p>
      <w:r>
        <w:rPr>
          <w:b/>
        </w:rPr>
        <w:t>E. 1</w:t>
      </w:r>
    </w:p>
    <w:p>
      <w:r>
        <w:t>Die Staatsanwaltschaft II des Kantons Zürich führt eine Strafuntersuchung gegen A.________ wegen Verleumdung etc. Am 5. November 2019 erliess sie einen Hausdurchsuchungs- und Durchsuchungsbefehl. Die Hausdurchsuchung fand am 3. Dezember 2019 statt. Dabei wurden u.a. zwei Laptops sowie ein Mobiltelefon sichergestellt.</w:t>
      </w:r>
    </w:p>
    <w:p>
      <w:r>
        <w:t>A.________ erhob gegen den Hausdurchsuchungs- und Durchsuchungsbefehl am 3. Dezember 2019 Beschwerde. Dabei beantragte er eine Fristerstreckung, bis er amtlich verteidigt sei, die Gewährung der unentgeltlichen Rechtspflege sowie - sinngemäss - die Bestellung einer amtlichen Verteidigung. Die III. Strafkammer des Obergerichts des Kantons Zürich wies mit Verfügung und Beschluss vom 14. Januar 2020 das Gesuch um Gewährung der unentgeltlichen Rechtspflege ab, trat auf die Beschwerde nicht ein und auferlegte A.________ die Gerichtsgebühr von Fr. 500.--. Zur Begründung führte die III. Strafkammer zusammenfassend aus, dass die Oberstaatsanwaltschaft mit Verfügung vom 9. Dezember 2019 A.________ mit Wirkung auf den 9. Dezember 2019 einen amtlichen Verteidiger bestellt habe. Das Gesuch um Bestellung einer amtlichen Verteidigung sei damit hinfällig geworden. Der amtliche Verteidiger sei innerhalb der laufenden Beschwerdefrist bestellt worden, weshalb es sich erübrige, auf das Fristerstreckungsgesuch einzugehen. Da die Zwangsmassnahme bereits am 3. Dezember 2019 erfolgt sei und naturgemäss nachträglich nicht mehr aufgehoben oder abgeändert werden könne, fehle es A.________ an einem aktuellen Interesse, weshalb auf die Beschwerde nicht einzutreten sie. Die Beschwerde sei von vornherein aussichtslos gewesen, weshalb das Gesuch um unentgeltliche Rechtspflege abzuweisen sei. Entsprechend dem Verfahrensausgang seien dem Beschwerdeführer die Verfahrenskosten aufzuerlegen.</w:t>
      </w:r>
    </w:p>
    <w:p>
      <w:r>
        <w:rPr>
          <w:b/>
        </w:rPr>
        <w:t>E. 2</w:t>
      </w:r>
    </w:p>
    <w:p>
      <w:r>
        <w:t>A.________ führt mit Eingaben vom 27. und 28. Januar 2020 Beschwerde in Strafsachen gegen die Verfügung und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beanstandet, dass die III. Strafkammer seinem vier Tage vor Ablauf der Beschwerdefrist ernannten amtlichen Verteidiger nicht eine Fristerstreckung von 10 Tagen gewährt habe, damit dieser ihn hätte beraten oder eine Beschwerdeergänzung erstellen können. Er vermag jedoch nicht konkret aufzuzeigen, dass die III. Strafkammer Recht im Sinne von Art. 42 Abs. 2 BGG verletzt hätte, zumal gemäss Art. 89 Abs. 1 StPO gesetzliche Fristen nicht erstreckt werden können. Bezüglich des Nichteintretensgrundes macht der Beschwerdeführer überhaupt keine Ausführungen. Soweit er sinngemäss die Kostenauflage beanstandet, ergibt sich aus seinen Ausführungen nicht ansatzweise, inwiefern diese rechtswidrig erfolgt sein sollte. Aus seiner Beschwerde ergibt sich nicht, inwiefern die Begründung der III. Strafkammer bzw. deren Beschluss selbst rechts- bzw. verfassungswidrig sein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