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579/2011 vom 1. November 2011</w:t>
      </w:r>
    </w:p>
    <w:p>
      <w:r>
        <w:t>Bundesgericht, 2011-11-01, DE</w:t>
      </w:r>
    </w:p>
    <w:p>
      <w:r>
        <w:rPr>
          <w:b/>
        </w:rPr>
        <w:t xml:space="preserve">Quelle: </w:t>
      </w:r>
      <w:r>
        <w:t>https://mcp.opencaselaw.ch/entscheid/bger_1B_579_2011</w:t>
      </w:r>
    </w:p>
    <w:p>
      <w:r>
        <w:t>FR: TF 1B 579/2011 du 1 novembre 2011</w:t>
      </w:r>
    </w:p>
    <w:p>
      <w:r>
        <w:t>IT: TF 1B 579/2011 del 1 novembre 2011</w:t>
      </w:r>
    </w:p>
    <w:p>
      <w:pPr>
        <w:pStyle w:val="Heading2"/>
      </w:pPr>
      <w:r>
        <w:t>Regeste</w:t>
      </w:r>
    </w:p>
    <w:p>
      <w:r>
        <w:t>Entlassung aus dem vozeitigem Strafvollzug | Strafprozess</w:t>
      </w:r>
    </w:p>
    <w:p>
      <w:pPr>
        <w:pStyle w:val="Heading2"/>
      </w:pPr>
      <w:r>
        <w:t>Erwägungen</w:t>
      </w:r>
    </w:p>
    <w:p>
      <w:r>
        <w:rPr>
          <w:b/>
        </w:rPr>
        <w:t>E. 1.1</w:t>
      </w:r>
    </w:p>
    <w:p>
      <w:r>
        <w:t>Der angefochtene Entscheid betrifft die Entlassung aus dem vorzeitigen Strafvollzug. Dagegen ist die Beschwerde in Strafsachen nach Art. 78 ff. BGG gegeben. Anwendbar ist die am 1. Januar 2011 in Kraft getretene Schweizerische Strafprozessordnung (StPO; SR 312.0; siehe Art. 453 f. StPO). Danach ist der angefochtene Entscheid kantonal letztinstanzlich ( Art. 393 ff. StPO , Art. 80 BGG ). Beim Beschluss des Obergerichts handelt es sich um einen Zwischenentscheid, der einen nicht wieder gutzumachenden Nachteil im Sinne von Art. 93 Abs. 1 lit. a BGG bewirken kann.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Auf die Beschwerde ist grundsätzlich einzutreten.</w:t>
      </w:r>
    </w:p>
    <w:p>
      <w:r>
        <w:rPr>
          <w:b/>
        </w:rPr>
        <w:t>E. 1.2</w:t>
      </w:r>
    </w:p>
    <w:p>
      <w:r>
        <w:t>Nicht einzutreten ist indessen auf die Rüge, das Obergericht sei seiner Begründungspflicht nicht nachgekommen ( Art. 29 Abs. 2 BV ). Der Beschwerdeführer stellt diesen Vorwurf seinen inhaltlichen Ausführungen voran, ohne konkret darzulegen, auf welche Aspekte des angefochtenen Entscheids er sich bezieht ( Art. 42 Abs. 2 und Art. 106 Abs. 2 BGG ).</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 Die Auslegung und die Anwendung der im Bundesrecht geregelten Voraussetzungen für die mit strafprozessualen Zwangsmassnahmen einhergehenden Grundrechtsbeschränkungen prüft das Bundesgericht mit freier Kognition ( Art. 95 lit. a BGG ; Urteile 1B_379/2011 vom 2. August 2011 E. 1;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3.1</w:t>
      </w:r>
    </w:p>
    <w:p>
      <w:r>
        <w:t>Der Beschwerdeführer bestreitet den dringenden Tatverdacht im Grundsatz nicht. Er wirft jedoch in seiner Beschwerdefrist die Frage auf, um welche Tat es sich genau handle, nachdem ihm zunächst ein Raub vorgeworfen worden sei und dann Angriff und einfache Körperverletzung. Weiter bestreitet er das Vorliegen eines besonderen Haftgrunds und die Verhältnismässigkeit der Haft.</w:t>
      </w:r>
    </w:p>
    <w:p>
      <w:r>
        <w:rPr>
          <w:b/>
        </w:rPr>
        <w:t>E. 3.2</w:t>
      </w:r>
    </w:p>
    <w:p>
      <w:r>
        <w:t>Im den Beschwerdeführer betreffenden Urteil 1B_435/2011 vom 13. September 2011 legt das Bundesgericht dar, dass das Obergericht vom dringenden Tatverdacht der einfachen Körperverletzung ( Art. 123 StGB ) und des Angriffs ( Art. 134 StGB ) ausgehen durfte, ohne Bundesrecht zu verletzen (a.a.O., E. 3.3). Darauf kann hier verwiesen werden. Den dringenden Tatverdacht hinsichtlich sexueller Belästigung ( Art. 198 StGB ), Tätlichkeit ( Art. 126 StGB ) und Sachbeschädigung ( Art. 144 StGB ) hatte der Beschwerdeführer schon damals nicht bestritten (a.a.O., E. 3.2). Auch im vorliegenden Verfahren tut er dies nicht.</w:t>
      </w:r>
    </w:p>
    <w:p>
      <w:r>
        <w:rPr>
          <w:b/>
        </w:rPr>
        <w:t>E. 3.3.1</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3.3.2</w:t>
      </w:r>
    </w:p>
    <w:p>
      <w:r>
        <w:t>Die Vorinstanz begründete die Annahme von Wiederholungsgefahr zum einen mit den Vorstrafen des Beschwerdeführers. Am 4. Januar 2006 sei er von der Jugendanwaltschaft der Bezirke Dietikon und Affoltern wegen Betrug, versuchten Betrugs, Diebstahl, Sachbeschädigung, Hausfriedensbruch, geringfügigen Vermögensdelikten (Hehlerei), Entwendung zum Gebrauch, mehrfachen Fahrens ohne Führerausweis, pflichtwidrigen Verhaltens bei Unfall, mehrfacher einfacher Verletzung von Verkehrsregeln, grober Verletzung von Verkehrsregeln, mehrfacher unberechtigter Verwendung eines Fahrzeugs sowie mehrfachen Übertretens des BetmG (SR 812.121) zu einer bedingten Einschliessung von 14 Tagen verurteilt worden. Der bedingte Vollzug der Strafe sei später widerrufen worden. Am 4. Juli 2006 sei der Beschwerdeführer von der Jugendanwaltschaft der Bezirke Dietikon und Affoltern wegen mehrfachen Diebstahls, betrügerischen Missbrauchs einer Datenverarbeitungsanlage, einfacher Körperverletzung, mehrfacher Sachbeschädigung, mehrfachen Hausfriedensbruchs sowie Fahren ohne Führerausweis zu einer Einschliessung von 7 Tagen verurteilt worden. Mit Urteil vom 20. Oktober 2008 sei er vom Bezirksgericht Dietikon wegen Raub, Angriff, einfacher Körperverletzung, Raufhandel, Fahren in fahrunfähigem Zustand, Entwendung zum Gebrauch, Fahren ohne Führerausweis und mehrfachen Übertretens des BetmG zu einer Freiheitsstrafe von 2 Jahren sowie einer Busse von Fr. 500.-- verurteilt worden. Am 9. März 2009 sei der Beschwerdeführer bei einer Probezeit von einem Jahr aus dem Strafvollzug entlassen worden. Mit Strafbefehl vom 25. Juni 2010 sei er schliesslich von der Staatsanwaltschaft Limmattal/Albis wegen mehrfachen Vergehens gegen das Bundesgesetz vom 20. Juni 1997 über Waffen, Waffenzubehör und Munition (Waffengesetz; SR 514.54) und mehrfachen Übertretens des BetmG zu einer bedingten Geldstrafe von 60 Tagessätzen und einer Busse von Fr. 500.-- verurteilt worden, bei einer Probezeit von 5 Jahren. Weiter führte das Obergericht aus, das über den Beschwerdeführer erstellte psychiatrische Gutachten vom 11. Mai 2011 halte fest, dass er unter einer "mittelschweren Persönlichkeitsstörung dissozialen Typus" sowie einer mittelgradigen Suchtmittelabhängigkeit gelitten habe bzw. leide. Bezüglich der Suchtmittelproblematik betreffend Alkohol und Cannabis lebe er jedoch in geschützter Umgebung (dem Gefängnis) gegenwärtig abstinent. Die Gefahr neuerlichen gewalttätigen Handelns sei gemäss Gutachten als hoch anzusehen. Bezüglich der sexuellen Belästigung sei die Rückfallgefahr als mittelgradig einzustufen. Zwischen der Persönlichkeitsstörung und der Tat bestehe ein Zusammenhang. In Bezug auf die Möglichkeit der Anordnung von Ersatzmassnahmen legte das Obergericht dar, dass das deliktische Verhalten immer als Reaktion auf das Verhalten anderer Personen erfolgt sei. Dies werde auch im psychiatrischen Gutachten so geschildert. Es sei davon auszugehen, dass der Beschwerdeführer in Freiheit grösste Mühe damit hätte, Situationen, in denen er sich angegriffen fühlt, ohne Gewaltanwendung zu meistern. Ersatzmassnahmen seien unter diesen Voraussetzungen nicht erfolgversprechend. Auch dass der Beschwerdeführer über eine Arbeitsstelle zu verfügen scheine und in einer Beziehung lebe, ändere daran nichts. In dieser Hinsicht hätten ihn bisher die Konsequenzen seines Handelns (beispielsweise der Freiheitsentzug) ja auch nicht von weiterem Delinquieren abgehalten.</w:t>
      </w:r>
    </w:p>
    <w:p>
      <w:r>
        <w:rPr>
          <w:b/>
        </w:rPr>
        <w:t>E. 3.3.3</w:t>
      </w:r>
    </w:p>
    <w:p>
      <w:r>
        <w:t>Der Beschwerdeführer bringt vor, die Vortaten müssten konkret beurteilt werden. Die einfache Körperverletzung aus dem Jahr 2006 sein nicht gravierend gewesen, was an der geringen Strafe ersichtlich sei. Als Vortat im Sinne von Art. 221 Abs. 1 lit. c StPO falle sie damit ausser Betracht. Es bleibe damit nur eine Vortat aus dem Jahr 2008, womit der Haftgrund der Wiederholungsgefahr ausgeschlossen sei. Zudem bestünden keine konkreten Anhaltspunkte dafür, dass er weitere solche Delikte beginge, würde er aus der Haft entlassen. Präventivhaft könne niemals aufgrund des Verhaltens Dritter, sprich aufgrund hypothetischer Provokationen Dritter angeordnet werden. Die Rückfallgefahr werde denn auch sowohl von der Vorinstanz wie auch vom Gutachter lediglich als hoch bezeichnet, sie müsste aber sehr hoch sein. Weder die Vorinstanz noch die Staatsanwaltschaft oder der Gutachter führten zudem konkret aus, um welche möglichen weiteren Taten es gehe. Auch die Dritten, die ihn provozieren könnten, blieben rein hypothetisch. Die Vorinstanz könne keine konkreten Personen nennen. Schliesslich prüfe die Vorinstanz leider erneut die möglichen Ersatzmassnahmen nicht. Dabei hänge die hypothetische Rückfallgefahr gemäss dem Gutachten mit dem Alkohol- und Cannabiskonsum zusammen und könnten Kontrollen zum Wohlverhalten beitragen.</w:t>
      </w:r>
    </w:p>
    <w:p>
      <w:r>
        <w:rPr>
          <w:b/>
        </w:rPr>
        <w:t>E. 3.3.4</w:t>
      </w:r>
    </w:p>
    <w:p>
      <w:r>
        <w:t>Wie das Bundesgericht in BGE 137 IV 84 E. 3.2 S. 85 f. entschieden hat, entsprechen der deutsche und der italienische Wortlaut von Art. 221 Abs. 1 lit. c StPO ("schwere Verbrechen oder Vergehen"/"gravi crimini o delitti") weder der bisherigen Rechtsprechung noch dem Sinn und Zweck der Bestimmung. Gestützt auf den französischen Wortlaut ("des crimes ou des délits graves") ist die Bestimmung dahingehend auszulegen, dass "Verbrechen oder schwere Vergehen" drohen müssen. Aus den im angefochtenen Entscheid angeführten Vortaten ist ohne Weiteres ersichtlich, dass der Beschwerdeführer bereits früher gleichartige Straftaten verübt hat. Es handelt sich dabei nicht nur um einfache Körperverletzungen, sondern insbesondere auch um Raub ( Art. 140 StGB ), Angriff ( Art. 134 StGB ) und Raufhandel ( Art. 133 StGB ). Beim Raub und beim Angriff handelt es sich um Verbrechen ( Art. 10 Abs. 2 StGB ). Die Auffassung des Beschwerdeführers, es mangle am Vortatenerfordernis, ist somit unzutreffend. Unbegründet ist auch die Kritik des Beschwerdeführers in Bezug auf die Wiederholungsgefahr. Dass das Obergericht die Wiederholungsgefahr als hinreichend hoch erachtete, um die Voraussetzungen von Art. 221 Abs. 1 lit. c StPO zu erfüllen, ist ohne Weiteres ersichtlich. Dies ist auch inhaltlich nicht zu beanstanden. Der Richter ist gemäss der Rechtsprechung des Bundesgerichts an die Auffassung des Experten gebunden, soweit Fachfragen betroffen sind und soweit nicht triftige Gründe für eine abweichende Würdigung sprechen ( BGE 132 II 257 E. 4.4.1 S. 269 mit Hinweisen). Wie erwähnt, hat der Gutachter die Gefahr neuerlichen gewalttätigen Handelns als hoch eingestuft. Dass er dabei von "hoch" spricht und nicht, wie es der juristischen Auslegung von Art. 221 Abs. 1 lit. c StPO entspricht, von einer "sehr ungünstigen Rückfallprognose", ist nicht massgebend. Die Vorbringen des Beschwerdeführers in Bezug auf die befürchteten und seiner Ansicht nach konkret zu bezeichnenden Delikte sind ebenfalls nicht stichhaltig. Die Vorinstanz hat die Art der Delikte, hinsichtlich welcher sie eine Wiederholung befürchtet, genannt. Ebenfalls hat sie darauf hingewiesen, dass der Beschwerdeführer grösste Mühe damit habe, Situationen, in denen er sich angegriffen fühle, gewaltfrei zu bewältigen. Dass sie darüber hinaus konkrete Personen nennt, welche den Beschwerdeführer provozieren könnten, kann nicht verlangt werden. Die dem Beschwerdeführer vorgeworfene Tat zeigt gerade auf, dass es um Situationen geht, bei welchen er mit ihm unbekannten Personen mehr oder weniger zufälligerweise in Kontakt kommt. Zu Recht hat es deshalb das Obergericht auch abgelehnt, Ersatzmassnahmen anzuordnen. Ein Rayonverbot wäre etwa unter den gegebenen Voraussetzungen nicht zielführend. Auch der Vorschlag des Beschwerdeführers, den Alkohol- und Cannabiskonsum kontrollieren zu lassen, überzeugt nicht. Denn aus dem psychiatrischen Gutachten geht hervor, dass die Rückfallgefahr in erster Linie persönlichkeitsbedingt ist und nicht Folge des Alkohol- und Cannabiskonsums.</w:t>
      </w:r>
    </w:p>
    <w:p>
      <w:r>
        <w:rPr>
          <w:b/>
        </w:rPr>
        <w:t>E. 3.4.1</w:t>
      </w:r>
    </w:p>
    <w:p>
      <w:r>
        <w:t>Der Beschwerdeführer, der sich seit dem 26. September 2010 in Untersuchungshaft und vorzeitigem Strafvollzug befindet, macht schliesslich geltend, der Freiheitsentzug sei nicht mehr verhältnismässig. Zur Begründung verweist er auf seine Beschwerde ans Bundesgericht vom 24. August 2011. Wesentliche neue Erkenntnisse bringe das Obergericht nicht vor. Das Obergericht habe offensichtlich die mittelgradig verminderte Schuldfähigkeit und die relativ leichte Verletzung des Opfers nicht berücksichtigt. Zudem sei nur eine Tätlichkeit erstellt. Er selbst habe sich in Haft stets wohl verhalten und müsse mit Sicherheit nur zwei Drittel der Strafe absitzen. In Bezug auf die Strafzumessung sei zudem auch der medialen Vorverurteilung Rechnung zu tragen.</w:t>
      </w:r>
    </w:p>
    <w:p>
      <w:r>
        <w:rPr>
          <w:b/>
        </w:rPr>
        <w:t>E. 3.4.2</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w:t>
      </w:r>
    </w:p>
    <w:p>
      <w:r>
        <w:rPr>
          <w:b/>
        </w:rPr>
        <w:t>E. 3.4.3</w:t>
      </w:r>
    </w:p>
    <w:p>
      <w:r>
        <w:t>In Bezug auf die Berücksichtigung einer möglichen bedingten Entlassung aus dem Strafvollzug nach Verbüssung von zwei Dritteln der Strafe hat die Vorinstanz zu Recht darauf hingewiesen, dass dieser Möglichkeit nur ausnahmsweise Rechnung zu tragen ist, nämlich wenn bereits absehbar ist, dass eine bedingte Entlassung mit grosser Wahrscheinlichkeit erfolgen wird. Dies ist vorliegend nicht der Fall. Vielmehr hat die Vorinstanz zutreffend erwogen, dass angesichts der einschlägigen Vorstrafen des Beschwerdeführers nicht gesagt werden könne, eine bedingte Entlassung erscheine in hohem Masse als wahrscheinlich (vgl. Urteil 1B_422/2011 vom 6. September 2011 E. 5 mit Hinweis).</w:t>
      </w:r>
    </w:p>
    <w:p>
      <w:r>
        <w:rPr>
          <w:b/>
        </w:rPr>
        <w:t>E. 3.4.4</w:t>
      </w:r>
    </w:p>
    <w:p>
      <w:r>
        <w:t>Bei der Abschätzung, welche Dauer eine freiheitsentziehende Sanktion im Falle der rechtskräftigen Verurteilung haben wird, stehen der Vorwurf der einfachen Körperverletzung und des Angriffs im Vordergrund. Einfache Körperverletzung wird mit Freiheitsstrafe bis zu 3 Jahren oder Geldstrafe bestraft ( Art. 123 Ziff. 1 StGB ), Angriff mit Freiheitsstrafe bis zu 5 Jahren oder Geldstrafe ( Art. 134 StGB ). Das Obergericht hat bei der Prognose berücksichtigt, dass der Beschwerdeführer über ein ausführliches und teilweise einschlägiges Vorstrafenregister verfügt. Zudem habe er während laufender Probezeit erneut delinquiert. Gemäss dem psychiatrischen Gutachten habe bezüglich der Tatvorwürfe der einfachen Körperverletzung bzw. des Angriffs sowie der sexuellen Belästigung eine knapp mittelgradige Verminderung der Schuldfähigkeit vorgelegen, bezüglich der Sachbeschädigung eine leichte Verminderung. Insgesamt erscheine eine Sanktion von 18 Monaten Freiheitsstrafe als wahrscheinlich. Was der Beschwerdeführer dagegen vorbringt, überzeugt nicht, soweit er sich in seiner Beschwerde überhaupt mit den Ausführungen im angefochtenen Entscheid auseinandersetzt ( Art. 42 Abs. 2 BGG ). In Bezug auf den Einwand, es sei nur eine Tätlichkeit erstellt, ist auf die Erwägungen zum dringenden Tatverdacht (E. 3.2 hiervor) zu verweisen. Auch trifft nach dem Gesagten nicht zu, dass die Vorinstanz die verminderte Schuldfähigkeit nicht berücksichtigt hat. Der behaupteten medialen Vorverurteilung schliesslich kommt nicht das Gewicht zu, das ihr der Beschwerdeführer beizumessen scheint. Das Opfer der einfachen Körperverletzung bzw. des Angriffs hat zudem gemäss angefochtenem Entscheid nicht unerhebliche Verletzungen erlitten, wenn auch ersichtlich ist, dass deren Schweregrad klar unter der Grenze zur schweren Körperverletzung nach Art. 122 StGB liegt. Gemäss angefochtenem Entscheid handelt es sich um eine Rissquetschwunde im Mundwinkel, eine Schädelprellung sowie multiple Schmerzen im Kopfbereich. Bei einer gesamthaften Berücksichtigung all dieser Umstände kann im jetzigen Zeitpunkt, wo die Haft seit 13 Monaten andauert, noch nicht von Überhaft gesprochen werden.</w:t>
      </w:r>
    </w:p>
    <w:p>
      <w:r>
        <w:rPr>
          <w:b/>
        </w:rPr>
        <w:t>E. 4</w:t>
      </w:r>
    </w:p>
    <w:p>
      <w:r>
        <w:t>Die Beschwerde ist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