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578/2020 vom 30. November 2020</w:t>
      </w:r>
    </w:p>
    <w:p>
      <w:r>
        <w:t>Bundesgericht, 2020-11-30, FR</w:t>
      </w:r>
    </w:p>
    <w:p>
      <w:r>
        <w:rPr>
          <w:b/>
        </w:rPr>
        <w:t xml:space="preserve">Quelle: </w:t>
      </w:r>
      <w:r>
        <w:t>https://mcp.opencaselaw.ch/entscheid/bger_1B_578_2020</w:t>
      </w:r>
    </w:p>
    <w:p>
      <w:r>
        <w:t>FR: TF 1B 578/2020 du 30 novembre 2020</w:t>
      </w:r>
    </w:p>
    <w:p>
      <w:r>
        <w:t>IT: TF 1B 578/2020 del 30 novembre 2020</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et le recourant dispose d'un intérêt juridique à la réforme de la décision attaquée qui confirme son maintien en détention provisoire (art. 81 al. 1 let. a et b ch. 1 LTF).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se plaint d'arbitraire dans la constatation des faits sur la base des art. 95 et 97 al. 1 LTF .</w:t>
      </w:r>
    </w:p>
    <w:p>
      <w:r>
        <w:rPr>
          <w:b/>
        </w:rPr>
        <w:t>E.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Le Tribunal fédéral n'entre ainsi pas en matière sur les critiques de nature appellatoire ( ATF 145 IV 154 consid. 1.1 p. 156). Il appartient à la partie recourante de démontrer le caractère arbitraire par une argumentation répondant aux exigences de l' art. 106 al. 2 LTF (cf. ATF 143 IV 500 consid. 1.1 p. 503).</w:t>
      </w:r>
    </w:p>
    <w:p>
      <w:r>
        <w:rPr>
          <w:b/>
        </w:rPr>
        <w:t>E. 2.2</w:t>
      </w:r>
    </w:p>
    <w:p>
      <w:r>
        <w:t>Dans la section de son mémoire intitulée "Faits essentiels", le recourant ne cherche pas à démontrer que les faits auraient été établis arbitrairement par l'instance précédente et ne formule ainsi aucun grief recevable. Le recourant discute ensuite d'un passage de l'arrêt entrepris qui retient que le "Ministère public a chargé la police d'enquêter sur près de 90 personnes supplémentaires" et qu'il "n'est pas possible en l'état des investigations de déterminer les personnes que le prévenu serait interdit de contacter". Selon lui, cette constatation serait manifestement inexacte, dès lors qu'aucun "mandat d'actes d'enquête" ni aucune des écritures du ministère public en lien avec sa demande de mise en liberté ne ferait référence à ces "90 personnes supplémentaires". Selon les constatations de la décision entreprise, la police "n'a pas encore rendu les rapports portant sur l'analyse du matériel informatique saisi, des requêtes faites par diverses entreprises du prévenu, ou pour lesquelles il avait agi, et celles individuelles concernant 90 personnes à l'OCAS, des dossiers PAPYRUS de 76 personnes demandés à l'OCPM et de la documentation bancaire des comptes du prévenu reçue de l'UBS et Postfinance" (cf. arrêt attaqué p. 4 let. B/f). Au vu de ces éléments, on ne saurait reprocher à la cour cantonale d'avoir retenu que l'enquête portait encore sur près de 90 personnes supplémentaires. L'explication du recourant selon laquelle il s'agirait d'une confusion avec le nombre de dossiers déjà analysés par la police judiciaire n'est guère convaincante et n'est d'ailleurs étayée par aucun élément pertinent. L'état de fait tel que retenu par l'arrêt entrepris n'apparaissant pas manifestement inexact ou incomplet d'une manière insoutenable, il n'y a ainsi pas lieu de le rectifier.</w:t>
      </w:r>
    </w:p>
    <w:p>
      <w:r>
        <w:rPr>
          <w:b/>
        </w:rPr>
        <w:t>E. 3</w:t>
      </w:r>
    </w:p>
    <w:p>
      <w:r>
        <w:t>Le recourant nie ensuite le risque de collusion retenu pour faire échec à sa libération provisoire, respectivement fait valoir que ce risque pourrait être réduit par diverses mesures de substitution. Il fait valoir une violation des art. 5 CEDH , 10 al. 2 et 36 Cst., 221 et 237 al. 1 CPP.</w:t>
      </w:r>
    </w:p>
    <w:p>
      <w:r>
        <w:rPr>
          <w:b/>
        </w:rPr>
        <w:t>E. 3.1</w:t>
      </w:r>
    </w:p>
    <w:p>
      <w:r>
        <w:t>Conformément à l' art. 221 al. 1 let. b CPP ,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des experts et/ou des co-prévenus, ainsi que lorsque le prévenu essaye de faire disparaître des traces ou des moyens de preuve. En tant que motif de détention avant jugement, le danger de collusion vise à empêcher le prévenu de mettre en danger la recherche de la vérité ( ATF 132 I 21 consid. 3.2 p. 23; arrêt 1B_339/2019 du 26 juillet 2019 consid. 3.1).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 ATF 137 IV 122 consid. 4.2 p. 127 s.; 132 I 21 consid. 3.2 p. 23 s. et les références citées; plus récemment arrêt 1B_383/2020 du 13 août 2020 consid. 4.1).</w:t>
      </w:r>
    </w:p>
    <w:p>
      <w:r>
        <w:rPr>
          <w:b/>
        </w:rPr>
        <w:t>E. 3.2</w:t>
      </w:r>
    </w:p>
    <w:p>
      <w:r>
        <w:t>En l'espèce, la cour cantonale a considéré que l'interdiction de contact des personnes déjà entendues ordonnée par le Tmc apparaissait sans grande portée, et celle visant les bénéficiaires de la procédure PAPYRUS trop limitée; en effet, les infractions concernaient également de fausses affiliations auprès de l'OCAS, des mariages blancs et des faux documents destinés à l'obtention d'avantages divers tels que l'attribution d'appartements; l'argumentation du recourant selon laquelle il avait, en substance, reconnu les faits et que sa situation ne serait ainsi pas différente avec un ou deux cas supplémentaires, était loin de correspondre à la situation que la cour cantonale constatait en l'état. Cette autorité a ainsi relevé que le ministère public avait chargé la police d'enquêter sur près de 90 personnes supplémentaires et qu'il n'était pas possible en l'état des investigations de déterminer les personnes avec lesquelles il serait interdit au recourant de prendre contact; en outre, vu le nombre potentiel de ses clients, il était illusoire de penser que le contrôle serait efficace; il ne le serait, en toute hypothèse, qu'a posteriori. Ajoutant que les infractions reprochées portaient atteinte à l'Etat, à son modèle, à son économie et à sa crédibilité, l'autorité précédente a constaté que le recourant était détenu depuis janvier 2020 et que le ministère public instruisait à un rythme soutenu, ce qui n'était pas contesté; l'intéressé était soupçonné d'avoir développé un "business model" à grande échelle sur plusieurs années, dont la rentabilité vraisemblable n'était pas encore détaillée dans la procédure, faisant bénéficier des personnes en situation irrégulière, donc vulnérables à la pression sous quelque forme que ce soit. La cour cantonale en a conclu que le risque de collusion apparaissait, à ce stade de la procédure, beaucoup trop important au regard des besoins de l'instruction, et que le recourant avait déjà concrètement mis en danger le bon déroulement de l'enquête en faisant disparaître des documents peu avant son arrestation. Ce raisonnement ne prête pas le flanc à la critique et le recourant ne développe aucune argumentation susceptible de le remettre en cause. Il y a lieu de rappeler, tout d'abord, que les aveux - mis en avant par l'intéressé - ne suffisent pas en soi à exclure tout risque de collusion, car il n'est pas impossible par ce biais de protéger d'autres personnes et/ou de tenter d'éviter des actes d'instruction complémentaires pouvant révéler d'autres infractions. Il incombe d'ailleurs aux autorités de vérifier la crédibilité des aveux (cf. art. 160 CPP ); elles doivent ainsi notamment continuer à interroger le prévenu et/ou administrer d'autres moyens de preuve, afin en particulier de prévenir le risque de faux aveux ou d'aveux partiels (arrêts 1B_488/2018 du 5 novembre 2018 consid. 2.4; 1B_416/2018 du 3 octobre 2018 consid. 2.3). Le recourant soutient qu'il n'y aurait aucun élément concret permettant de craindre qu'il exerce une quelconque pression sur les personnes entendues et à entendre, qu'il n'aurait aucun intérêt à exercer de telles pressions sur "d'autres clients non identifiés" puisqu'il aurait reconnu le principe même de l'infraction, que "tout" serait "en mains des autorités", respectivement que, hormis quelques potentiels clients supplémentaires, qui n'auraient aucune incidence sur le fond, les enquêteurs auraient déjà fait le tour des dossiers. Ces éléments ne suffisent toutefois pas à rendre inexistant le risque de collusion. En effet, par son exposé, le recourant confirme l'existence d'un risque de collusion en cas de libération, puisqu'il pourrait être tenté de contacter ces "autres clients non identifiés", sans que l'on en connaisse le nombre, afin de faire correspondre leur version à la sienne. A ce stade de l'enquête et vu les actes d'instruction en cours, on ne saurait écarter le risque que le recourant ne mette sa liberté à profit pour tenter d'influencer ou d'intimider les personnes susceptibles d'être encore entendues, ce d'autant si ces dernières sont en situation irrégulière ou risquent de perdre leur autorisation de séjour et sont donc vulnérables à la pression quelle qu'elle soit. L'allégation du recourant selon laquelle aucun élément concret ne permettrait de craindre une telle pression n'est pas de nature à faire cesser tout risque de collusion, ce d'autant qu'il semblerait qu'il a déjà mis en danger le bon déroulement de l'enquête en faisant disparaître des documents peu avant son arrestation. Quant à son argument selon lequel il lui serait de toute façon impossible d'entraver l'instruction dès lors que les enquêteurs auraient tous les documents, respectivement les ordinateurs saisis et que les "autres dossiers" seraient en mains des autorités administratives genevoises, il n'est pas non plus pertinent; ce sont en effet surtout les auditions des personnes qui n'ont pas encore été entendues, respectivement identifiées qui sont ici visées. Au regard de ces considérations, la cour cantonale pouvait, sans violer le droit fédéral, confirmer l'existence d'un risque de collusion. Il n'y a dès lors pas à s'interroger sur le risque de fuite, respectivement sur le danger de réitération, qui ne sont au demeurant pas remis en cause par le recourant.</w:t>
      </w:r>
    </w:p>
    <w:p>
      <w:r>
        <w:rPr>
          <w:b/>
        </w:rPr>
        <w:t>E. 3.3</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A cet égard et en lien avec le risque spécifique de collusion, le recourant propose des mesures d'interdiction de contact avec toutes les personnes énumérées sur le procès-verbal d'audience du 8 octobre 2020 ainsi qu'avec toutes personnes pour lesquelles il serait intervenu dans le cadre de l'obtention d'un document en lien avec la LEI, qui pourraient être étendues "à toutes personnes bénéficiaires de ses conseils". Ces mesures sont toutefois insuffisantes au regard de la nature du risque de collusion constaté. Une interdiction de contact paraît en effet particulièrement difficile à contrôler, compte tenu du nombre de personnes potentiellement concernées et dès lors que - de l'aveu même du recourant - tous ses clients n'ont pas encore pu être identifiés; elle ne permet ainsi pas, en l'état, de pallier le risque d'atteinte à la recherche de la vérité. Par ailleurs, il n'y a pas seulement un risque de collusion par rapport aux personnes "bénéficiaires de ses conseils", mais aussi par rapport à d'autres personnes tels que d'éventuels complices. Quant aux autres mesures de substitution proposées, elles tendent avant tout à éviter un danger de fuite. Elles n'empêchent en revanche pas le recourant de contacter les personnes concernées. On ne voit au demeurant pas quelle autre mesure de substitution serait propre à éviter le risque de collusion retenu. Par conséquent, la cour cantonale pouvait retenir, sans violer le droit fédéral, qu'aucune mesure n'était propre à réduire le risque de collusion existant. Enfin, du point de vue temporel, au vu de la gravité des infractions pour lesquelles le recourant a été mis en prévention et de la durée de la détention provisoire déjà subie, le principe de la proportionnalité est encore respecté.</w:t>
      </w:r>
    </w:p>
    <w:p>
      <w:r>
        <w:rPr>
          <w:b/>
        </w:rPr>
        <w:t>E. 3.4</w:t>
      </w:r>
    </w:p>
    <w:p>
      <w:r>
        <w:t>Au regard de ces considérations, l'autorité précédente pouvait, à juste titre, confirmer le maintien du recourant en détention provisoire.</w:t>
      </w:r>
    </w:p>
    <w:p>
      <w:r>
        <w:rPr>
          <w:b/>
        </w:rPr>
        <w:t>E. 4</w:t>
      </w:r>
    </w:p>
    <w:p>
      <w:r>
        <w:t>Le recours doit par conséquent être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