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574/2011 vom 28. November 2011</w:t>
      </w:r>
    </w:p>
    <w:p>
      <w:r>
        <w:t>Bundesgericht, 2011-11-28, DE</w:t>
      </w:r>
    </w:p>
    <w:p>
      <w:r>
        <w:rPr>
          <w:b/>
        </w:rPr>
        <w:t xml:space="preserve">Quelle: </w:t>
      </w:r>
      <w:r>
        <w:t>https://mcp.opencaselaw.ch/entscheid/bger_1B_574_2011</w:t>
      </w:r>
    </w:p>
    <w:p>
      <w:r>
        <w:t>FR: TF 1B 574/2011 du 28 novembre 2011</w:t>
      </w:r>
    </w:p>
    <w:p>
      <w:r>
        <w:t>IT: TF 1B 574/2011 del 28 novembre 2011</w:t>
      </w:r>
    </w:p>
    <w:p>
      <w:pPr>
        <w:pStyle w:val="Heading2"/>
      </w:pPr>
      <w:r>
        <w:t>Regeste</w:t>
      </w:r>
    </w:p>
    <w:p>
      <w:r>
        <w:t>Strafverfahren; Nichteintretensverfügung | Strafprozess</w:t>
      </w:r>
    </w:p>
    <w:p>
      <w:pPr>
        <w:pStyle w:val="Heading2"/>
      </w:pPr>
      <w:r>
        <w:t>Erwägungen</w:t>
      </w:r>
    </w:p>
    <w:p>
      <w:r>
        <w:rPr>
          <w:b/>
        </w:rPr>
        <w:t>E. 1</w:t>
      </w:r>
    </w:p>
    <w:p>
      <w:r>
        <w:t>In der Begründung einer Beschwerde an das Bundesgericht ist in gedrängter Form darzulegen, inwiefern der angefochtene Akt Recht verletzt ( Art. 42 Abs. 2 BGG ). Dies setzt voraus, dass sich der Beschwerdeführer wenigstens kurz mit den Erwägungen des angefochtenen Entscheids auseinandersetzt. Zwar wendet das Bundesgericht das Recht grundsätzlich von Amtes wegen an ( Art. 106 Abs. 1 BGG ). Auf eine Beschwerde kann aber nur eingetreten werden, wenn wenigstens die Begründungsanforderungen von Art. 42 Abs. 2 BGG erfüllt sind. Strengere Anforderungen gelten, wenn die Verletzung von Grundrechten zu beurteilen ist. Dies prüft das Bundesgericht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BGE 135 III 127 E. 1.6 S. 130; 134 II 244 E. 2.1 und 2.2 S. 245; je mit Hinweisen).</w:t>
      </w:r>
    </w:p>
    <w:p>
      <w:r>
        <w:rPr>
          <w:b/>
        </w:rPr>
        <w:t>E. 1.1</w:t>
      </w:r>
    </w:p>
    <w:p>
      <w:r>
        <w:t>Der Beschwerdeführer begründet seine Beschwerde an das Bundesgericht damit, dass die Verfügung des Untersuchungsrichteramts vom 25. Mai 2010 keine rechtliche Begründung enthalte und damit gegen Art. 5 Abs. 1 BV verstosse. Zudem habe sich das Obergericht im angefochtenen Entscheid auf ein obergerichtliches Urteil vom 21. Mai 2010 gestützt, welches das Bundesgericht mit Urteil 5A_442/2010 vom 7. September 2010 aufgehoben habe. Ein Entscheid, der ein Bundesgerichtsurteil missachte, verstosse gegen Art. 5 Abs. 1 und Art. 9 BV .</w:t>
      </w:r>
    </w:p>
    <w:p>
      <w:r>
        <w:rPr>
          <w:b/>
        </w:rPr>
        <w:t>E. 1.2</w:t>
      </w:r>
    </w:p>
    <w:p>
      <w:r>
        <w:t>Dem vorliegenden Verfahren liegt der Vorwurf des Beschwerdeführers zugrunde, die Verantwortlichen des Betreibungsamts hätten trotz eines nicht beseitigten Rechtsvorschlags unzulässigerweise weitere Betreibungshandlungen vorgenommen. Das Bundesgericht hat mit Urteil 5A_442/2010 vom 7. September 2010 entschieden, dass der Beschwerdeführer den Rechtsvorschlag entgegen der Auffassung des Obergerichts rechtsgültig erklärt hatte. Mit dem Urteil des Bundesgerichts wurde das obergerichtliche Urteil vom 21. Mai 2010 und eine Pfändungsankündigung des Betreibungsamts vom 19. Februar 2010 aufgehoben. Der Beschwerdeführer behauptet, der angefochtene Entscheid missachte das Urteil 5A_442/2010 vom 7. September 2010. Er legt indessen nicht dar, welche Auswirkungen die Aufhebung der betreibungsrechtlichen Entscheide auf die Beurteilung der von ihm erhobenen strafrechtlichen Vorwürfe gegen die Mitarbeiter des Betreibungsamts haben könnte. Insbesondere zeigt er nicht auf, inwiefern das vom Obergericht bestätigte Nichteintreten auf seine Strafanzeige mit dem einschlägigen Bundesrecht nicht vereinbar sein soll. Er kommt somit seiner Begründungsobliegenheit im Sinne von Art. 42 Abs. 2 BGG offensichtlich nicht nach. Aus diesem Grund kann auf die Beschwerde im vereinfachten Verfahren nach Art. 108 Abs. 1 lit. b BGG nicht eingetreten werden. Bei diesem Ergebnis kann offenbleiben, ob die Beschwerde die weiteren Eintretensvoraussetzungen erfüllt.</w:t>
      </w:r>
    </w:p>
    <w:p>
      <w:r>
        <w:rPr>
          <w:b/>
        </w:rPr>
        <w:t>E. 2</w:t>
      </w:r>
    </w:p>
    <w:p>
      <w:r>
        <w:t>Die Gerichtskosten sind dem unterliegenden Beschwerdeführer aufzuerlegen ( Art. 66 Abs. 1 BGG ). Den beteiligten Behörden, die in ihrem amtlichen Wirkungskreis obsiegen,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